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E1" w:rsidRPr="000379E1" w:rsidRDefault="000379E1" w:rsidP="000379E1">
      <w:pPr>
        <w:shd w:val="clear" w:color="auto" w:fill="FFFFFF"/>
        <w:bidi/>
        <w:spacing w:after="100" w:afterAutospacing="1" w:line="360" w:lineRule="auto"/>
        <w:jc w:val="both"/>
        <w:outlineLvl w:val="1"/>
        <w:rPr>
          <w:rFonts w:asciiTheme="minorBidi" w:eastAsia="Times New Roman" w:hAnsiTheme="minorBidi"/>
          <w:b/>
          <w:bCs/>
          <w:color w:val="3A3A3A"/>
          <w:sz w:val="36"/>
          <w:szCs w:val="36"/>
        </w:rPr>
      </w:pPr>
      <w:r w:rsidRPr="000379E1">
        <w:rPr>
          <w:rFonts w:asciiTheme="minorBidi" w:eastAsia="Times New Roman" w:hAnsiTheme="minorBidi"/>
          <w:b/>
          <w:bCs/>
          <w:color w:val="3A3A3A"/>
          <w:sz w:val="36"/>
          <w:szCs w:val="36"/>
          <w:rtl/>
        </w:rPr>
        <w:t>محمد اسماعیل " رحیمی " معین اداری وزارت مالیه</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محمد اسماعیل "رحیمی" فرزند محمد رحیم درسال 1355 درشهر کابل دیده به جهان گشود. بعد از فراغت از لیسه عالی حبیبیه، تحصیلات عالی خویشرا درپوهنحی طب پوهنتون بلخ به اتمام رسانید. ایشان تحصیلات بعدی خویش را  به سطح ماستری ( پالیسی اقتصادی ) درپوهنتون ولیمزکالج ایالات متحده امریکا و ماستری دیگرش را در رشته  (اداره و تجارت) درپوهنتون مریم رشید خان شهرکابل به پایان رسانیده است.</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وی از سال 1380 الی 1383 منحیث مدیر منطقه ای، برنامه انکشافی اطفال و جوانان (</w:t>
      </w:r>
      <w:r w:rsidRPr="000379E1">
        <w:rPr>
          <w:rFonts w:asciiTheme="minorBidi" w:eastAsia="Times New Roman" w:hAnsiTheme="minorBidi"/>
          <w:color w:val="3A3A3A"/>
          <w:sz w:val="32"/>
          <w:szCs w:val="32"/>
        </w:rPr>
        <w:t>YCDP</w:t>
      </w:r>
      <w:r w:rsidRPr="000379E1">
        <w:rPr>
          <w:rFonts w:asciiTheme="minorBidi" w:eastAsia="Times New Roman" w:hAnsiTheme="minorBidi"/>
          <w:color w:val="3A3A3A"/>
          <w:sz w:val="32"/>
          <w:szCs w:val="32"/>
          <w:rtl/>
        </w:rPr>
        <w:t>) و بعداً بحیث آمر  گزارشدهی و اطلاعات و بعد از مدتی به حیث مسئول برنامه های پسانداز و سرمایه گذاری در دفتر ساحوی اسکان سازمان ملل متحد ایفای وظیفه نموده است.</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ایشان در سال 1386 بحیث هماهنگ کننده سکتوری در مشاوریت اقتصادی ریاست جمهوری و دارالانشای استراتیژی انکشاف ملی افغانستان ایفای وظیفه نموده است.  نامبرده درسال 1388 بحیث رئیس عمومی پالیسی و نظارت از استراتیژی انکشاف ملی افغانستان در وزارت اقتصاد ایفای وظیفه نموده و بعد ازسپری شدن پنج سال، بر اساس حکم مقام محترم ریاست جمهوری اسلامی افغانستان به حیث معین مسلکی وزارت اقتصاد تقرر حاصل نمودند.</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وی به زبان های دری، پشتو و انگلیسی تسلط کامل داشته و به خاطر ابتکارات و شایستگی های که از خویش در اجرای امور محوله نشان داده است، نایل به تقدیرنامه درجه اول از جانب مقام عالی ریاست جمهوری اسلامی افغانستان نیز گردیده است.</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آقای رحیمی طی سالیان متمادی، نشریات و مقالات متعدد و ارزشمندی از خود بجا گذاشته است. که از جمله میتوان از مقالات:</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lastRenderedPageBreak/>
        <w:t>بحران کنونی جهانی و پاسخ کشور های در حال توسعه</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اثر بخشی دولت و مداخله مناسب آن در مصئونیت اجتماعی</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روش شبکه امنیت اجتماعی براساس جامعه (برنامه همبستگی ملی افغانستان و مصونیت اجتماعی)</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موفقیت اجرایی و محدودیت های برنامه همبستگی ملی</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مصونیت اجتماعی و رشد پایدار</w:t>
      </w:r>
    </w:p>
    <w:p w:rsidR="000379E1" w:rsidRPr="000379E1" w:rsidRDefault="000379E1" w:rsidP="000379E1">
      <w:pPr>
        <w:shd w:val="clear" w:color="auto" w:fill="FFFFFF"/>
        <w:bidi/>
        <w:spacing w:after="100" w:afterAutospacing="1" w:line="360" w:lineRule="auto"/>
        <w:jc w:val="both"/>
        <w:outlineLvl w:val="2"/>
        <w:rPr>
          <w:rFonts w:asciiTheme="minorBidi" w:eastAsia="Times New Roman" w:hAnsiTheme="minorBidi"/>
          <w:color w:val="3A3A3A"/>
          <w:sz w:val="32"/>
          <w:szCs w:val="32"/>
          <w:rtl/>
        </w:rPr>
      </w:pPr>
      <w:r w:rsidRPr="000379E1">
        <w:rPr>
          <w:rFonts w:asciiTheme="minorBidi" w:eastAsia="Times New Roman" w:hAnsiTheme="minorBidi"/>
          <w:color w:val="3A3A3A"/>
          <w:sz w:val="32"/>
          <w:szCs w:val="32"/>
          <w:rtl/>
        </w:rPr>
        <w:t>ضمناً محترم رحیمی عضویت مجمع ارزیابی مالیزیا (</w:t>
      </w:r>
      <w:r w:rsidRPr="000379E1">
        <w:rPr>
          <w:rFonts w:asciiTheme="minorBidi" w:eastAsia="Times New Roman" w:hAnsiTheme="minorBidi"/>
          <w:color w:val="3A3A3A"/>
          <w:sz w:val="32"/>
          <w:szCs w:val="32"/>
        </w:rPr>
        <w:t>Malaysian Evaluation Society</w:t>
      </w:r>
      <w:r w:rsidRPr="000379E1">
        <w:rPr>
          <w:rFonts w:asciiTheme="minorBidi" w:eastAsia="Times New Roman" w:hAnsiTheme="minorBidi"/>
          <w:color w:val="3A3A3A"/>
          <w:sz w:val="32"/>
          <w:szCs w:val="32"/>
          <w:rtl/>
        </w:rPr>
        <w:t> ) و عضویت افتخاری چندین سازمان های بین المللی و منطقه یی نظارت و ارزیابی را دارا می باشد.</w:t>
      </w:r>
    </w:p>
    <w:p w:rsidR="004A5BEF" w:rsidRDefault="004A5BEF"/>
    <w:sectPr w:rsidR="004A5BEF" w:rsidSect="004A5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9E1"/>
    <w:rsid w:val="000379E1"/>
    <w:rsid w:val="004A5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2020-07-05T04:44:00Z</dcterms:created>
  <dcterms:modified xsi:type="dcterms:W3CDTF">2020-07-05T04:46:00Z</dcterms:modified>
</cp:coreProperties>
</file>