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D1D" w:rsidRPr="00B21D1D" w:rsidRDefault="00B21D1D" w:rsidP="00B21D1D">
      <w:pPr>
        <w:pBdr>
          <w:bottom w:val="single" w:sz="6" w:space="15" w:color="FFFFFF"/>
        </w:pBdr>
        <w:shd w:val="clear" w:color="auto" w:fill="FFFFFF"/>
        <w:spacing w:before="300" w:after="450" w:line="360" w:lineRule="auto"/>
        <w:jc w:val="center"/>
        <w:outlineLvl w:val="0"/>
        <w:rPr>
          <w:rFonts w:asciiTheme="minorBidi" w:eastAsia="Times New Roman" w:hAnsiTheme="minorBidi"/>
          <w:caps/>
          <w:color w:val="333333"/>
          <w:kern w:val="36"/>
          <w:sz w:val="24"/>
          <w:szCs w:val="24"/>
        </w:rPr>
      </w:pPr>
      <w:hyperlink r:id="rId4" w:history="1">
        <w:r w:rsidRPr="00B21D1D">
          <w:rPr>
            <w:rFonts w:asciiTheme="minorBidi" w:eastAsia="Times New Roman" w:hAnsiTheme="minorBidi"/>
            <w:caps/>
            <w:color w:val="3181C1"/>
            <w:kern w:val="36"/>
            <w:sz w:val="24"/>
            <w:szCs w:val="24"/>
          </w:rPr>
          <w:t>GENEVA CONFERENCE ON AFGHANISTAN</w:t>
        </w:r>
      </w:hyperlink>
    </w:p>
    <w:p w:rsidR="00B21D1D" w:rsidRPr="00B21D1D" w:rsidRDefault="00B21D1D" w:rsidP="00B21D1D">
      <w:pPr>
        <w:shd w:val="clear" w:color="auto" w:fill="FFFFFF"/>
        <w:spacing w:after="150" w:line="360" w:lineRule="auto"/>
        <w:jc w:val="both"/>
        <w:rPr>
          <w:rFonts w:asciiTheme="minorBidi" w:eastAsia="Times New Roman" w:hAnsiTheme="minorBidi"/>
          <w:color w:val="333333"/>
          <w:sz w:val="24"/>
          <w:szCs w:val="24"/>
        </w:rPr>
      </w:pPr>
      <w:r w:rsidRPr="00B21D1D">
        <w:rPr>
          <w:rFonts w:asciiTheme="minorBidi" w:eastAsia="Times New Roman" w:hAnsiTheme="minorBidi"/>
          <w:color w:val="333333"/>
          <w:sz w:val="24"/>
          <w:szCs w:val="24"/>
        </w:rPr>
        <w:t>In 2011 at the Bonn conference on Afghanistan, the international community agreed on a “Transformation Decade” for the country. During this period, Afghanistan was promised more international assistance than countries at a similar stage of development, so that the country would achieve self-reliance by 2024.  At the Tokyo Conference in 2012, a system of high-level periodic reviews was put in place with ministerial meetings (invitation to Foreign Ministers because of the comprehensive and political nature of the meetings) every two years and Senior Officials meeting in the intervening years. The ministerial meetings in 2012 (Tokyo) and 2016 (Brussels) became major pledging conferences obtaining over $16 billion and $15 billion respectively for the years which followed. The next major pledging conference is in 2020.</w:t>
      </w:r>
    </w:p>
    <w:p w:rsidR="006A46E9" w:rsidRDefault="006A46E9"/>
    <w:sectPr w:rsidR="006A46E9" w:rsidSect="006A46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1D1D"/>
    <w:rsid w:val="006A46E9"/>
    <w:rsid w:val="00B21D1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6E9"/>
  </w:style>
  <w:style w:type="paragraph" w:styleId="Heading1">
    <w:name w:val="heading 1"/>
    <w:basedOn w:val="Normal"/>
    <w:link w:val="Heading1Char"/>
    <w:uiPriority w:val="9"/>
    <w:qFormat/>
    <w:rsid w:val="00B21D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1D1D"/>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B21D1D"/>
    <w:rPr>
      <w:color w:val="0000FF"/>
      <w:u w:val="single"/>
    </w:rPr>
  </w:style>
  <w:style w:type="paragraph" w:styleId="NormalWeb">
    <w:name w:val="Normal (Web)"/>
    <w:basedOn w:val="Normal"/>
    <w:uiPriority w:val="99"/>
    <w:semiHidden/>
    <w:unhideWhenUsed/>
    <w:rsid w:val="00B21D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9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olicymof.gov.af/home/geneva-conference-on-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leena.shoaibi</dc:creator>
  <cp:lastModifiedBy>leena.shoaibi</cp:lastModifiedBy>
  <cp:revision>1</cp:revision>
  <dcterms:created xsi:type="dcterms:W3CDTF">2021-05-18T06:05:00Z</dcterms:created>
  <dcterms:modified xsi:type="dcterms:W3CDTF">2021-05-18T06:05:00Z</dcterms:modified>
</cp:coreProperties>
</file>