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YSpec="top"/>
        <w:tblW w:w="11250" w:type="dxa"/>
        <w:tblLook w:val="04A0" w:firstRow="1" w:lastRow="0" w:firstColumn="1" w:lastColumn="0" w:noHBand="0" w:noVBand="1"/>
      </w:tblPr>
      <w:tblGrid>
        <w:gridCol w:w="901"/>
        <w:gridCol w:w="3545"/>
        <w:gridCol w:w="6804"/>
      </w:tblGrid>
      <w:tr w:rsidR="003271C3" w:rsidTr="000B1411">
        <w:trPr>
          <w:trHeight w:val="1440"/>
        </w:trPr>
        <w:tc>
          <w:tcPr>
            <w:tcW w:w="901" w:type="dxa"/>
            <w:tcBorders>
              <w:right w:val="single" w:sz="4" w:space="0" w:color="FFFFFF" w:themeColor="background1"/>
            </w:tcBorders>
            <w:shd w:val="clear" w:color="auto" w:fill="943634" w:themeFill="accent2" w:themeFillShade="BF"/>
          </w:tcPr>
          <w:p w:rsidR="003271C3" w:rsidRPr="00585A6E" w:rsidRDefault="00ED564A" w:rsidP="003271C3">
            <w:pPr>
              <w:rPr>
                <w:lang w:val="en-US"/>
              </w:rPr>
            </w:pPr>
            <w:r>
              <w:rPr>
                <w:lang w:val="en-US"/>
              </w:rPr>
              <w:t xml:space="preserve"> </w:t>
            </w:r>
          </w:p>
        </w:tc>
        <w:tc>
          <w:tcPr>
            <w:tcW w:w="3545" w:type="dxa"/>
            <w:tcBorders>
              <w:left w:val="single" w:sz="4" w:space="0" w:color="FFFFFF" w:themeColor="background1"/>
            </w:tcBorders>
            <w:shd w:val="clear" w:color="auto" w:fill="943634" w:themeFill="accent2" w:themeFillShade="BF"/>
          </w:tcPr>
          <w:p w:rsidR="003271C3" w:rsidRDefault="003271C3" w:rsidP="003271C3">
            <w:pPr>
              <w:pStyle w:val="NoSpacing"/>
              <w:rPr>
                <w:rFonts w:asciiTheme="majorHAnsi" w:eastAsiaTheme="majorEastAsia" w:hAnsiTheme="majorHAnsi" w:cstheme="majorBidi"/>
                <w:b/>
                <w:bCs/>
                <w:color w:val="FFFFFF" w:themeColor="background1"/>
                <w:sz w:val="72"/>
                <w:szCs w:val="72"/>
              </w:rPr>
            </w:pPr>
          </w:p>
        </w:tc>
        <w:sdt>
          <w:sdtPr>
            <w:rPr>
              <w:rFonts w:asciiTheme="majorHAnsi" w:eastAsiaTheme="majorEastAsia" w:hAnsiTheme="majorHAnsi" w:cstheme="majorBidi"/>
              <w:b/>
              <w:bCs/>
              <w:color w:val="FFFFFF" w:themeColor="background1"/>
              <w:sz w:val="72"/>
              <w:szCs w:val="72"/>
            </w:rPr>
            <w:alias w:val="Year"/>
            <w:id w:val="15676118"/>
            <w:placeholder>
              <w:docPart w:val="2A1A0B68DC8D4DDFB222EBDF727D02E5"/>
            </w:placeholder>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tc>
              <w:tcPr>
                <w:tcW w:w="6804" w:type="dxa"/>
                <w:tcBorders>
                  <w:left w:val="single" w:sz="4" w:space="0" w:color="FFFFFF" w:themeColor="background1"/>
                </w:tcBorders>
                <w:shd w:val="clear" w:color="auto" w:fill="943634" w:themeFill="accent2" w:themeFillShade="BF"/>
                <w:vAlign w:val="bottom"/>
              </w:tcPr>
              <w:p w:rsidR="003271C3" w:rsidRDefault="003271C3" w:rsidP="003271C3">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2020</w:t>
                </w:r>
              </w:p>
            </w:tc>
          </w:sdtContent>
        </w:sdt>
      </w:tr>
      <w:tr w:rsidR="003271C3" w:rsidTr="000B1411">
        <w:trPr>
          <w:trHeight w:val="2880"/>
        </w:trPr>
        <w:tc>
          <w:tcPr>
            <w:tcW w:w="901" w:type="dxa"/>
            <w:tcBorders>
              <w:right w:val="single" w:sz="4" w:space="0" w:color="000000" w:themeColor="text1"/>
            </w:tcBorders>
          </w:tcPr>
          <w:p w:rsidR="003271C3" w:rsidRDefault="003271C3" w:rsidP="003271C3"/>
        </w:tc>
        <w:tc>
          <w:tcPr>
            <w:tcW w:w="3545" w:type="dxa"/>
            <w:tcBorders>
              <w:left w:val="single" w:sz="4" w:space="0" w:color="000000" w:themeColor="text1"/>
            </w:tcBorders>
          </w:tcPr>
          <w:p w:rsidR="003271C3" w:rsidRPr="009C633B" w:rsidRDefault="003271C3" w:rsidP="003271C3">
            <w:pPr>
              <w:pStyle w:val="NoSpacing"/>
              <w:rPr>
                <w:rFonts w:ascii="Arial" w:hAnsi="Arial" w:cs="Arial"/>
                <w:b/>
                <w:color w:val="0070C0"/>
                <w:sz w:val="62"/>
              </w:rPr>
            </w:pPr>
            <w:r>
              <w:rPr>
                <w:rFonts w:ascii="Arial" w:hAnsi="Arial" w:cs="Arial"/>
                <w:b/>
                <w:noProof/>
                <w:color w:val="0070C0"/>
                <w:sz w:val="62"/>
              </w:rPr>
              <w:drawing>
                <wp:inline distT="0" distB="0" distL="0" distR="0" wp14:anchorId="47D716DA" wp14:editId="341486A6">
                  <wp:extent cx="1897380" cy="179693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IA Logo.png"/>
                          <pic:cNvPicPr/>
                        </pic:nvPicPr>
                        <pic:blipFill>
                          <a:blip r:embed="rId9">
                            <a:extLst>
                              <a:ext uri="{28A0092B-C50C-407E-A947-70E740481C1C}">
                                <a14:useLocalDpi xmlns:a14="http://schemas.microsoft.com/office/drawing/2010/main" val="0"/>
                              </a:ext>
                            </a:extLst>
                          </a:blip>
                          <a:stretch>
                            <a:fillRect/>
                          </a:stretch>
                        </pic:blipFill>
                        <pic:spPr>
                          <a:xfrm>
                            <a:off x="0" y="0"/>
                            <a:ext cx="1897544" cy="1797085"/>
                          </a:xfrm>
                          <a:prstGeom prst="rect">
                            <a:avLst/>
                          </a:prstGeom>
                        </pic:spPr>
                      </pic:pic>
                    </a:graphicData>
                  </a:graphic>
                </wp:inline>
              </w:drawing>
            </w:r>
          </w:p>
        </w:tc>
        <w:tc>
          <w:tcPr>
            <w:tcW w:w="6804" w:type="dxa"/>
            <w:tcBorders>
              <w:left w:val="single" w:sz="4" w:space="0" w:color="000000" w:themeColor="text1"/>
            </w:tcBorders>
            <w:vAlign w:val="center"/>
          </w:tcPr>
          <w:sdt>
            <w:sdtPr>
              <w:rPr>
                <w:rFonts w:ascii="Arial" w:hAnsi="Arial" w:cs="Arial"/>
                <w:b/>
                <w:color w:val="0070C0"/>
                <w:sz w:val="62"/>
              </w:rPr>
              <w:alias w:val="Company"/>
              <w:id w:val="15676123"/>
              <w:placeholder>
                <w:docPart w:val="6C76F919DB1B46C59E84339739115B09"/>
              </w:placeholder>
              <w:dataBinding w:prefixMappings="xmlns:ns0='http://schemas.openxmlformats.org/officeDocument/2006/extended-properties'" w:xpath="/ns0:Properties[1]/ns0:Company[1]" w:storeItemID="{6668398D-A668-4E3E-A5EB-62B293D839F1}"/>
              <w:text/>
            </w:sdtPr>
            <w:sdtEndPr/>
            <w:sdtContent>
              <w:p w:rsidR="003271C3" w:rsidRPr="009C633B" w:rsidRDefault="003271C3" w:rsidP="000B1411">
                <w:pPr>
                  <w:pStyle w:val="NoSpacing"/>
                  <w:rPr>
                    <w:rFonts w:ascii="Arial" w:hAnsi="Arial" w:cs="Arial"/>
                    <w:b/>
                    <w:color w:val="0070C0"/>
                    <w:sz w:val="62"/>
                  </w:rPr>
                </w:pPr>
                <w:r>
                  <w:rPr>
                    <w:rFonts w:ascii="Arial" w:hAnsi="Arial" w:cs="Arial"/>
                    <w:b/>
                    <w:color w:val="0070C0"/>
                    <w:sz w:val="62"/>
                    <w:lang w:val="en-AU"/>
                  </w:rPr>
                  <w:t xml:space="preserve">General Directorate of </w:t>
                </w:r>
                <w:r w:rsidR="000B1411">
                  <w:rPr>
                    <w:rFonts w:ascii="Arial" w:hAnsi="Arial" w:cs="Arial"/>
                    <w:b/>
                    <w:color w:val="0070C0"/>
                    <w:sz w:val="62"/>
                  </w:rPr>
                  <w:t>Takaful and Insurance</w:t>
                </w:r>
              </w:p>
            </w:sdtContent>
          </w:sdt>
          <w:p w:rsidR="003271C3" w:rsidRDefault="003271C3" w:rsidP="003271C3">
            <w:pPr>
              <w:pStyle w:val="NoSpacing"/>
              <w:rPr>
                <w:color w:val="76923C" w:themeColor="accent3" w:themeShade="BF"/>
              </w:rPr>
            </w:pPr>
          </w:p>
          <w:sdt>
            <w:sdtPr>
              <w:rPr>
                <w:b/>
                <w:sz w:val="72"/>
              </w:rPr>
              <w:alias w:val="Author"/>
              <w:id w:val="15676130"/>
              <w:placeholder>
                <w:docPart w:val="6E0865C9B7C44A298769EEE3B9485A26"/>
              </w:placeholder>
              <w:dataBinding w:prefixMappings="xmlns:ns0='http://schemas.openxmlformats.org/package/2006/metadata/core-properties' xmlns:ns1='http://purl.org/dc/elements/1.1/'" w:xpath="/ns0:coreProperties[1]/ns1:creator[1]" w:storeItemID="{6C3C8BC8-F283-45AE-878A-BAB7291924A1}"/>
              <w:text/>
            </w:sdtPr>
            <w:sdtEndPr/>
            <w:sdtContent>
              <w:p w:rsidR="003271C3" w:rsidRPr="009C633B" w:rsidRDefault="003271C3" w:rsidP="003271C3">
                <w:pPr>
                  <w:pStyle w:val="NoSpacing"/>
                  <w:rPr>
                    <w:b/>
                    <w:sz w:val="72"/>
                  </w:rPr>
                </w:pPr>
                <w:r w:rsidRPr="009C633B">
                  <w:rPr>
                    <w:b/>
                    <w:sz w:val="72"/>
                    <w:lang w:val="en-AU"/>
                  </w:rPr>
                  <w:t>Afghanistan</w:t>
                </w:r>
              </w:p>
            </w:sdtContent>
          </w:sdt>
          <w:p w:rsidR="003271C3" w:rsidRPr="009C633B" w:rsidRDefault="003271C3" w:rsidP="003271C3">
            <w:pPr>
              <w:pStyle w:val="NoSpacing"/>
              <w:rPr>
                <w:rFonts w:ascii="Arial" w:hAnsi="Arial" w:cs="Arial"/>
                <w:b/>
                <w:color w:val="0070C0"/>
                <w:sz w:val="62"/>
              </w:rPr>
            </w:pPr>
          </w:p>
        </w:tc>
      </w:tr>
    </w:tbl>
    <w:sdt>
      <w:sdtPr>
        <w:id w:val="1230879937"/>
        <w:docPartObj>
          <w:docPartGallery w:val="Cover Pages"/>
          <w:docPartUnique/>
        </w:docPartObj>
      </w:sdtPr>
      <w:sdtEndPr>
        <w:rPr>
          <w:rFonts w:asciiTheme="majorBidi" w:hAnsiTheme="majorBidi"/>
          <w:b/>
          <w:bCs/>
          <w:sz w:val="40"/>
          <w:szCs w:val="40"/>
        </w:rPr>
      </w:sdtEndPr>
      <w:sdtContent>
        <w:p w:rsidR="009C633B" w:rsidRDefault="009C633B"/>
        <w:p w:rsidR="009C633B" w:rsidRDefault="009C633B"/>
        <w:tbl>
          <w:tblPr>
            <w:tblpPr w:leftFromText="187" w:rightFromText="187" w:horzAnchor="margin" w:tblpXSpec="center" w:tblpYSpec="bottom"/>
            <w:tblW w:w="5000" w:type="pct"/>
            <w:tblLook w:val="04A0" w:firstRow="1" w:lastRow="0" w:firstColumn="1" w:lastColumn="0" w:noHBand="0" w:noVBand="1"/>
          </w:tblPr>
          <w:tblGrid>
            <w:gridCol w:w="9360"/>
          </w:tblGrid>
          <w:tr w:rsidR="009C633B">
            <w:tc>
              <w:tcPr>
                <w:tcW w:w="0" w:type="auto"/>
              </w:tcPr>
              <w:p w:rsidR="009C633B" w:rsidRDefault="009C633B">
                <w:pPr>
                  <w:pStyle w:val="NoSpacing"/>
                  <w:rPr>
                    <w:b/>
                    <w:bCs/>
                    <w:caps/>
                    <w:sz w:val="72"/>
                    <w:szCs w:val="72"/>
                  </w:rPr>
                </w:pPr>
                <w:r>
                  <w:rPr>
                    <w:b/>
                    <w:bCs/>
                    <w:caps/>
                    <w:color w:val="76923C" w:themeColor="accent3" w:themeShade="BF"/>
                    <w:sz w:val="72"/>
                    <w:szCs w:val="72"/>
                  </w:rPr>
                  <w:t>[</w:t>
                </w:r>
                <w:sdt>
                  <w:sdtPr>
                    <w:rPr>
                      <w:b/>
                      <w:bCs/>
                      <w:caps/>
                      <w:sz w:val="72"/>
                      <w:szCs w:val="72"/>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Pr>
                        <w:b/>
                        <w:bCs/>
                        <w:caps/>
                        <w:sz w:val="72"/>
                        <w:szCs w:val="72"/>
                        <w:lang w:val="en-AU"/>
                      </w:rPr>
                      <w:t>Annual Report</w:t>
                    </w:r>
                  </w:sdtContent>
                </w:sdt>
                <w:r>
                  <w:rPr>
                    <w:b/>
                    <w:bCs/>
                    <w:caps/>
                    <w:color w:val="76923C" w:themeColor="accent3" w:themeShade="BF"/>
                    <w:sz w:val="72"/>
                    <w:szCs w:val="72"/>
                  </w:rPr>
                  <w:t>]</w:t>
                </w:r>
              </w:p>
            </w:tc>
          </w:tr>
          <w:tr w:rsidR="009C633B">
            <w:sdt>
              <w:sdtPr>
                <w:rPr>
                  <w:b/>
                  <w:color w:val="808080" w:themeColor="background1" w:themeShade="80"/>
                </w:rPr>
                <w:alias w:val="Abstract"/>
                <w:id w:val="15676143"/>
                <w:dataBinding w:prefixMappings="xmlns:ns0='http://schemas.microsoft.com/office/2006/coverPageProps'" w:xpath="/ns0:CoverPageProperties[1]/ns0:Abstract[1]" w:storeItemID="{55AF091B-3C7A-41E3-B477-F2FDAA23CFDA}"/>
                <w:text/>
              </w:sdtPr>
              <w:sdtEndPr/>
              <w:sdtContent>
                <w:tc>
                  <w:tcPr>
                    <w:tcW w:w="0" w:type="auto"/>
                  </w:tcPr>
                  <w:p w:rsidR="009C633B" w:rsidRDefault="009C633B" w:rsidP="009C633B">
                    <w:pPr>
                      <w:pStyle w:val="NoSpacing"/>
                      <w:rPr>
                        <w:color w:val="808080" w:themeColor="background1" w:themeShade="80"/>
                      </w:rPr>
                    </w:pPr>
                    <w:r w:rsidRPr="009C633B">
                      <w:rPr>
                        <w:b/>
                        <w:color w:val="808080" w:themeColor="background1" w:themeShade="80"/>
                      </w:rPr>
                      <w:t>STABLE INSURANCE INDUSTRY.  PROTECTED POLICYHOLDERS.  SUSTAINED ECONOMIC GROWTH.</w:t>
                    </w:r>
                  </w:p>
                </w:tc>
              </w:sdtContent>
            </w:sdt>
          </w:tr>
        </w:tbl>
        <w:p w:rsidR="009C633B" w:rsidRDefault="009C633B">
          <w:bookmarkStart w:id="0" w:name="_GoBack"/>
          <w:bookmarkEnd w:id="0"/>
        </w:p>
        <w:p w:rsidR="009C633B" w:rsidRDefault="009C633B">
          <w:pPr>
            <w:spacing w:after="160" w:line="259" w:lineRule="auto"/>
            <w:rPr>
              <w:rFonts w:asciiTheme="majorBidi" w:hAnsiTheme="majorBidi" w:cstheme="majorBidi"/>
              <w:b/>
              <w:bCs/>
              <w:sz w:val="40"/>
              <w:szCs w:val="40"/>
            </w:rPr>
          </w:pPr>
          <w:r>
            <w:rPr>
              <w:rFonts w:asciiTheme="majorBidi" w:hAnsiTheme="majorBidi"/>
              <w:b/>
              <w:bCs/>
              <w:sz w:val="40"/>
              <w:szCs w:val="40"/>
            </w:rPr>
            <w:br w:type="page"/>
          </w:r>
        </w:p>
      </w:sdtContent>
    </w:sdt>
    <w:sdt>
      <w:sdtPr>
        <w:rPr>
          <w:rFonts w:asciiTheme="majorBidi" w:eastAsiaTheme="minorHAnsi" w:hAnsiTheme="majorBidi" w:cstheme="minorBidi"/>
          <w:color w:val="auto"/>
          <w:sz w:val="22"/>
          <w:szCs w:val="22"/>
        </w:rPr>
        <w:id w:val="-740561705"/>
        <w:docPartObj>
          <w:docPartGallery w:val="Table of Contents"/>
          <w:docPartUnique/>
        </w:docPartObj>
      </w:sdtPr>
      <w:sdtEndPr>
        <w:rPr>
          <w:rFonts w:asciiTheme="minorHAnsi" w:eastAsia="Times New Roman" w:hAnsiTheme="minorHAnsi" w:cstheme="minorHAnsi"/>
          <w:b/>
          <w:bCs/>
          <w:noProof/>
        </w:rPr>
      </w:sdtEndPr>
      <w:sdtContent>
        <w:p w:rsidR="005D6E5D" w:rsidRPr="00820E71" w:rsidRDefault="005D6E5D" w:rsidP="00820E71">
          <w:pPr>
            <w:pStyle w:val="TOCHeading"/>
            <w:spacing w:before="0" w:line="360" w:lineRule="auto"/>
            <w:rPr>
              <w:rFonts w:asciiTheme="minorHAnsi" w:hAnsiTheme="minorHAnsi" w:cstheme="minorHAnsi"/>
              <w:color w:val="auto"/>
              <w:sz w:val="22"/>
              <w:szCs w:val="22"/>
            </w:rPr>
          </w:pPr>
          <w:r w:rsidRPr="00820E71">
            <w:rPr>
              <w:rFonts w:asciiTheme="minorHAnsi" w:hAnsiTheme="minorHAnsi" w:cstheme="minorHAnsi"/>
              <w:b/>
              <w:bCs/>
              <w:color w:val="auto"/>
              <w:sz w:val="22"/>
              <w:szCs w:val="22"/>
            </w:rPr>
            <w:t>Contents</w:t>
          </w:r>
        </w:p>
        <w:p w:rsidR="00815CFD" w:rsidRPr="00815CFD" w:rsidRDefault="00B40A09">
          <w:pPr>
            <w:pStyle w:val="TOC1"/>
            <w:tabs>
              <w:tab w:val="right" w:leader="dot" w:pos="9350"/>
            </w:tabs>
            <w:rPr>
              <w:rFonts w:asciiTheme="minorHAnsi" w:hAnsiTheme="minorHAnsi" w:cstheme="minorHAnsi"/>
              <w:noProof/>
              <w:sz w:val="22"/>
              <w:szCs w:val="22"/>
            </w:rPr>
          </w:pPr>
          <w:r w:rsidRPr="00815CFD">
            <w:rPr>
              <w:rFonts w:asciiTheme="minorHAnsi" w:hAnsiTheme="minorHAnsi" w:cstheme="minorHAnsi"/>
              <w:sz w:val="22"/>
              <w:szCs w:val="22"/>
            </w:rPr>
            <w:fldChar w:fldCharType="begin"/>
          </w:r>
          <w:r w:rsidR="005D6E5D" w:rsidRPr="00815CFD">
            <w:rPr>
              <w:rFonts w:asciiTheme="minorHAnsi" w:hAnsiTheme="minorHAnsi" w:cstheme="minorHAnsi"/>
              <w:sz w:val="22"/>
              <w:szCs w:val="22"/>
            </w:rPr>
            <w:instrText xml:space="preserve"> TOC \o "1-3" \h \z \u </w:instrText>
          </w:r>
          <w:r w:rsidRPr="00815CFD">
            <w:rPr>
              <w:rFonts w:asciiTheme="minorHAnsi" w:hAnsiTheme="minorHAnsi" w:cstheme="minorHAnsi"/>
              <w:sz w:val="22"/>
              <w:szCs w:val="22"/>
            </w:rPr>
            <w:fldChar w:fldCharType="separate"/>
          </w:r>
          <w:hyperlink w:anchor="_Toc43808694" w:history="1">
            <w:r w:rsidR="00815CFD" w:rsidRPr="00815CFD">
              <w:rPr>
                <w:rStyle w:val="Hyperlink"/>
                <w:rFonts w:asciiTheme="minorHAnsi" w:hAnsiTheme="minorHAnsi" w:cstheme="minorHAnsi"/>
                <w:noProof/>
              </w:rPr>
              <w:t>Message from the Director General</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_Toc43808694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2</w:t>
            </w:r>
            <w:r w:rsidR="00815CFD" w:rsidRPr="00815CFD">
              <w:rPr>
                <w:rFonts w:asciiTheme="minorHAnsi" w:hAnsiTheme="minorHAnsi" w:cstheme="minorHAnsi"/>
                <w:noProof/>
                <w:webHidden/>
              </w:rPr>
              <w:fldChar w:fldCharType="end"/>
            </w:r>
          </w:hyperlink>
        </w:p>
        <w:p w:rsidR="00815CFD" w:rsidRPr="00815CFD" w:rsidRDefault="00EE5E38">
          <w:pPr>
            <w:pStyle w:val="TOC1"/>
            <w:tabs>
              <w:tab w:val="right" w:leader="dot" w:pos="9350"/>
            </w:tabs>
            <w:rPr>
              <w:rFonts w:asciiTheme="minorHAnsi" w:hAnsiTheme="minorHAnsi" w:cstheme="minorHAnsi"/>
              <w:noProof/>
              <w:sz w:val="22"/>
              <w:szCs w:val="22"/>
            </w:rPr>
          </w:pPr>
          <w:hyperlink w:anchor="_Toc43808695" w:history="1">
            <w:r w:rsidR="00815CFD" w:rsidRPr="00815CFD">
              <w:rPr>
                <w:rStyle w:val="Hyperlink"/>
                <w:rFonts w:asciiTheme="minorHAnsi" w:hAnsiTheme="minorHAnsi" w:cstheme="minorHAnsi"/>
                <w:noProof/>
              </w:rPr>
              <w:t>Afghanistan – Demographics and Macroeconomic Indicators</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_Toc43808695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3</w:t>
            </w:r>
            <w:r w:rsidR="00815CFD" w:rsidRPr="00815CFD">
              <w:rPr>
                <w:rFonts w:asciiTheme="minorHAnsi" w:hAnsiTheme="minorHAnsi" w:cstheme="minorHAnsi"/>
                <w:noProof/>
                <w:webHidden/>
              </w:rPr>
              <w:fldChar w:fldCharType="end"/>
            </w:r>
          </w:hyperlink>
        </w:p>
        <w:p w:rsidR="00815CFD" w:rsidRPr="00815CFD" w:rsidRDefault="00EE5E38">
          <w:pPr>
            <w:pStyle w:val="TOC1"/>
            <w:tabs>
              <w:tab w:val="right" w:leader="dot" w:pos="9350"/>
            </w:tabs>
            <w:rPr>
              <w:rFonts w:asciiTheme="minorHAnsi" w:hAnsiTheme="minorHAnsi" w:cstheme="minorHAnsi"/>
              <w:noProof/>
              <w:sz w:val="22"/>
              <w:szCs w:val="22"/>
            </w:rPr>
          </w:pPr>
          <w:hyperlink w:anchor="_Toc43808696" w:history="1">
            <w:r w:rsidR="00815CFD" w:rsidRPr="00815CFD">
              <w:rPr>
                <w:rStyle w:val="Hyperlink"/>
                <w:rFonts w:asciiTheme="minorHAnsi" w:hAnsiTheme="minorHAnsi" w:cstheme="minorHAnsi"/>
                <w:noProof/>
              </w:rPr>
              <w:t>Section 1: About the General Directorate of Insurance Affairs (GDIA)</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_Toc43808696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4</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697" w:history="1">
            <w:r w:rsidR="00815CFD" w:rsidRPr="00815CFD">
              <w:rPr>
                <w:rStyle w:val="Hyperlink"/>
                <w:rFonts w:asciiTheme="minorHAnsi" w:hAnsiTheme="minorHAnsi" w:cstheme="minorHAnsi"/>
                <w:noProof/>
              </w:rPr>
              <w:t>1.1</w:t>
            </w:r>
            <w:r w:rsidR="00815CFD" w:rsidRPr="00815CFD">
              <w:rPr>
                <w:rFonts w:asciiTheme="minorHAnsi" w:hAnsiTheme="minorHAnsi" w:cstheme="minorHAnsi"/>
                <w:noProof/>
                <w:sz w:val="22"/>
                <w:szCs w:val="22"/>
              </w:rPr>
              <w:tab/>
            </w:r>
            <w:r w:rsidR="00815CFD" w:rsidRPr="00815CFD">
              <w:rPr>
                <w:rStyle w:val="Hyperlink"/>
                <w:rFonts w:asciiTheme="minorHAnsi" w:hAnsiTheme="minorHAnsi" w:cstheme="minorHAnsi"/>
                <w:noProof/>
              </w:rPr>
              <w:t>Background</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_Toc43808697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4</w:t>
            </w:r>
            <w:r w:rsidR="00815CFD" w:rsidRPr="00815CFD">
              <w:rPr>
                <w:rFonts w:asciiTheme="minorHAnsi" w:hAnsiTheme="minorHAnsi" w:cstheme="minorHAnsi"/>
                <w:noProof/>
                <w:webHidden/>
              </w:rPr>
              <w:fldChar w:fldCharType="end"/>
            </w:r>
          </w:hyperlink>
        </w:p>
        <w:p w:rsidR="00815CFD" w:rsidRPr="00815CFD" w:rsidRDefault="00EE5E38">
          <w:pPr>
            <w:pStyle w:val="TOC3"/>
            <w:tabs>
              <w:tab w:val="right" w:leader="dot" w:pos="9350"/>
            </w:tabs>
            <w:rPr>
              <w:rFonts w:asciiTheme="minorHAnsi" w:hAnsiTheme="minorHAnsi" w:cstheme="minorHAnsi"/>
              <w:noProof/>
              <w:sz w:val="22"/>
              <w:szCs w:val="22"/>
            </w:rPr>
          </w:pPr>
          <w:hyperlink w:anchor="_Toc43808698" w:history="1">
            <w:r w:rsidR="00815CFD" w:rsidRPr="00815CFD">
              <w:rPr>
                <w:rStyle w:val="Hyperlink"/>
                <w:rFonts w:asciiTheme="minorHAnsi" w:hAnsiTheme="minorHAnsi" w:cstheme="minorHAnsi"/>
                <w:noProof/>
              </w:rPr>
              <w:t>GDIA’s Vision</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_Toc43808698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4</w:t>
            </w:r>
            <w:r w:rsidR="00815CFD" w:rsidRPr="00815CFD">
              <w:rPr>
                <w:rFonts w:asciiTheme="minorHAnsi" w:hAnsiTheme="minorHAnsi" w:cstheme="minorHAnsi"/>
                <w:noProof/>
                <w:webHidden/>
              </w:rPr>
              <w:fldChar w:fldCharType="end"/>
            </w:r>
          </w:hyperlink>
        </w:p>
        <w:p w:rsidR="00815CFD" w:rsidRPr="00815CFD" w:rsidRDefault="00EE5E38">
          <w:pPr>
            <w:pStyle w:val="TOC3"/>
            <w:tabs>
              <w:tab w:val="right" w:leader="dot" w:pos="9350"/>
            </w:tabs>
            <w:rPr>
              <w:rFonts w:asciiTheme="minorHAnsi" w:hAnsiTheme="minorHAnsi" w:cstheme="minorHAnsi"/>
              <w:noProof/>
              <w:sz w:val="22"/>
              <w:szCs w:val="22"/>
            </w:rPr>
          </w:pPr>
          <w:hyperlink w:anchor="_Toc43808699" w:history="1">
            <w:r w:rsidR="00815CFD" w:rsidRPr="00815CFD">
              <w:rPr>
                <w:rStyle w:val="Hyperlink"/>
                <w:rFonts w:asciiTheme="minorHAnsi" w:hAnsiTheme="minorHAnsi" w:cstheme="minorHAnsi"/>
                <w:noProof/>
              </w:rPr>
              <w:t>GDIA’s Mission</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_Toc43808699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4</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00" w:history="1">
            <w:r w:rsidR="00815CFD" w:rsidRPr="00815CFD">
              <w:rPr>
                <w:rStyle w:val="Hyperlink"/>
                <w:rFonts w:asciiTheme="minorHAnsi" w:hAnsiTheme="minorHAnsi" w:cstheme="minorHAnsi"/>
                <w:noProof/>
              </w:rPr>
              <w:t>1.2</w:t>
            </w:r>
            <w:r w:rsidR="00815CFD" w:rsidRPr="00815CFD">
              <w:rPr>
                <w:rFonts w:asciiTheme="minorHAnsi" w:hAnsiTheme="minorHAnsi" w:cstheme="minorHAnsi"/>
                <w:noProof/>
                <w:sz w:val="22"/>
                <w:szCs w:val="22"/>
              </w:rPr>
              <w:tab/>
            </w:r>
            <w:r w:rsidR="00815CFD" w:rsidRPr="00815CFD">
              <w:rPr>
                <w:rStyle w:val="Hyperlink"/>
                <w:rFonts w:asciiTheme="minorHAnsi" w:hAnsiTheme="minorHAnsi" w:cstheme="minorHAnsi"/>
                <w:noProof/>
              </w:rPr>
              <w:t>GDIA’s role as the Insurance Regulator</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_Toc43808700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4</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01" w:history="1">
            <w:r w:rsidR="00815CFD" w:rsidRPr="00815CFD">
              <w:rPr>
                <w:rStyle w:val="Hyperlink"/>
                <w:rFonts w:asciiTheme="minorHAnsi" w:hAnsiTheme="minorHAnsi" w:cstheme="minorHAnsi"/>
                <w:noProof/>
              </w:rPr>
              <w:t>1.3</w:t>
            </w:r>
            <w:r w:rsidR="00815CFD" w:rsidRPr="00815CFD">
              <w:rPr>
                <w:rFonts w:asciiTheme="minorHAnsi" w:hAnsiTheme="minorHAnsi" w:cstheme="minorHAnsi"/>
                <w:noProof/>
                <w:sz w:val="22"/>
                <w:szCs w:val="22"/>
              </w:rPr>
              <w:tab/>
            </w:r>
            <w:r w:rsidR="00815CFD" w:rsidRPr="00815CFD">
              <w:rPr>
                <w:rStyle w:val="Hyperlink"/>
                <w:rFonts w:asciiTheme="minorHAnsi" w:hAnsiTheme="minorHAnsi" w:cstheme="minorHAnsi"/>
                <w:noProof/>
              </w:rPr>
              <w:t>Insurance Industry’s and GDIA’s Milestones</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_Toc43808701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5</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02" w:history="1">
            <w:r w:rsidR="00815CFD" w:rsidRPr="00815CFD">
              <w:rPr>
                <w:rStyle w:val="Hyperlink"/>
                <w:rFonts w:asciiTheme="minorHAnsi" w:hAnsiTheme="minorHAnsi" w:cstheme="minorHAnsi"/>
                <w:noProof/>
              </w:rPr>
              <w:t>1.4</w:t>
            </w:r>
            <w:r w:rsidR="00815CFD" w:rsidRPr="00815CFD">
              <w:rPr>
                <w:rFonts w:asciiTheme="minorHAnsi" w:hAnsiTheme="minorHAnsi" w:cstheme="minorHAnsi"/>
                <w:noProof/>
                <w:sz w:val="22"/>
                <w:szCs w:val="22"/>
              </w:rPr>
              <w:tab/>
            </w:r>
            <w:r w:rsidR="00815CFD" w:rsidRPr="00815CFD">
              <w:rPr>
                <w:rStyle w:val="Hyperlink"/>
                <w:rFonts w:asciiTheme="minorHAnsi" w:hAnsiTheme="minorHAnsi" w:cstheme="minorHAnsi"/>
                <w:noProof/>
              </w:rPr>
              <w:t>Overview of Insurance industry in Afghanistan</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_Toc43808702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5</w:t>
            </w:r>
            <w:r w:rsidR="00815CFD" w:rsidRPr="00815CFD">
              <w:rPr>
                <w:rFonts w:asciiTheme="minorHAnsi" w:hAnsiTheme="minorHAnsi" w:cstheme="minorHAnsi"/>
                <w:noProof/>
                <w:webHidden/>
              </w:rPr>
              <w:fldChar w:fldCharType="end"/>
            </w:r>
          </w:hyperlink>
        </w:p>
        <w:p w:rsidR="00815CFD" w:rsidRPr="00815CFD" w:rsidRDefault="00EE5E38">
          <w:pPr>
            <w:pStyle w:val="TOC1"/>
            <w:tabs>
              <w:tab w:val="right" w:leader="dot" w:pos="9350"/>
            </w:tabs>
            <w:rPr>
              <w:rFonts w:asciiTheme="minorHAnsi" w:hAnsiTheme="minorHAnsi" w:cstheme="minorHAnsi"/>
              <w:noProof/>
              <w:sz w:val="22"/>
              <w:szCs w:val="22"/>
            </w:rPr>
          </w:pPr>
          <w:hyperlink w:anchor="_Toc43808703" w:history="1">
            <w:r w:rsidR="00815CFD" w:rsidRPr="00815CFD">
              <w:rPr>
                <w:rStyle w:val="Hyperlink"/>
                <w:rFonts w:asciiTheme="minorHAnsi" w:hAnsiTheme="minorHAnsi" w:cstheme="minorHAnsi"/>
                <w:noProof/>
              </w:rPr>
              <w:t>Section 2: Insurance Market Performance</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_Toc43808703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9</w:t>
            </w:r>
            <w:r w:rsidR="00815CFD" w:rsidRPr="00815CFD">
              <w:rPr>
                <w:rFonts w:asciiTheme="minorHAnsi" w:hAnsiTheme="minorHAnsi" w:cstheme="minorHAnsi"/>
                <w:noProof/>
                <w:webHidden/>
              </w:rPr>
              <w:fldChar w:fldCharType="end"/>
            </w:r>
          </w:hyperlink>
        </w:p>
        <w:p w:rsidR="00815CFD" w:rsidRPr="00815CFD" w:rsidRDefault="00EE5E38">
          <w:pPr>
            <w:pStyle w:val="TOC1"/>
            <w:tabs>
              <w:tab w:val="right" w:leader="dot" w:pos="9350"/>
            </w:tabs>
            <w:rPr>
              <w:rFonts w:asciiTheme="minorHAnsi" w:hAnsiTheme="minorHAnsi" w:cstheme="minorHAnsi"/>
              <w:noProof/>
              <w:sz w:val="22"/>
              <w:szCs w:val="22"/>
            </w:rPr>
          </w:pPr>
          <w:hyperlink w:anchor="_Toc43808704" w:history="1">
            <w:r w:rsidR="00815CFD" w:rsidRPr="00815CFD">
              <w:rPr>
                <w:rStyle w:val="Hyperlink"/>
                <w:rFonts w:asciiTheme="minorHAnsi" w:hAnsiTheme="minorHAnsi" w:cstheme="minorHAnsi"/>
                <w:noProof/>
              </w:rPr>
              <w:t>Section 3: Insurance Companies in Afghanistan</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_Toc43808704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14</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05" w:history="1">
            <w:r w:rsidR="00815CFD" w:rsidRPr="00815CFD">
              <w:rPr>
                <w:rStyle w:val="Hyperlink"/>
                <w:rFonts w:asciiTheme="minorHAnsi" w:hAnsiTheme="minorHAnsi" w:cstheme="minorHAnsi"/>
                <w:noProof/>
              </w:rPr>
              <w:t>3.1</w:t>
            </w:r>
            <w:r w:rsidR="00815CFD" w:rsidRPr="00815CFD">
              <w:rPr>
                <w:rFonts w:asciiTheme="minorHAnsi" w:hAnsiTheme="minorHAnsi" w:cstheme="minorHAnsi"/>
                <w:noProof/>
                <w:sz w:val="22"/>
                <w:szCs w:val="22"/>
              </w:rPr>
              <w:tab/>
            </w:r>
            <w:r w:rsidR="00815CFD" w:rsidRPr="00815CFD">
              <w:rPr>
                <w:rStyle w:val="Hyperlink"/>
                <w:rFonts w:asciiTheme="minorHAnsi" w:hAnsiTheme="minorHAnsi" w:cstheme="minorHAnsi"/>
                <w:noProof/>
              </w:rPr>
              <w:t>The Afghanistan National Insurance Company (ANIC)</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_Toc43808705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14</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06" w:history="1">
            <w:r w:rsidR="00815CFD" w:rsidRPr="00815CFD">
              <w:rPr>
                <w:rStyle w:val="Hyperlink"/>
                <w:rFonts w:asciiTheme="minorHAnsi" w:hAnsiTheme="minorHAnsi" w:cstheme="minorHAnsi"/>
                <w:noProof/>
              </w:rPr>
              <w:t xml:space="preserve">3.2 </w:t>
            </w:r>
            <w:r w:rsidR="00815CFD" w:rsidRPr="00815CFD">
              <w:rPr>
                <w:rFonts w:asciiTheme="minorHAnsi" w:hAnsiTheme="minorHAnsi" w:cstheme="minorHAnsi"/>
                <w:noProof/>
                <w:sz w:val="22"/>
                <w:szCs w:val="22"/>
              </w:rPr>
              <w:tab/>
            </w:r>
            <w:r w:rsidR="00815CFD" w:rsidRPr="00815CFD">
              <w:rPr>
                <w:rStyle w:val="Hyperlink"/>
                <w:rFonts w:asciiTheme="minorHAnsi" w:hAnsiTheme="minorHAnsi" w:cstheme="minorHAnsi"/>
                <w:noProof/>
              </w:rPr>
              <w:t>The Insurance Corporation of Afghanistan (ICA)</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_Toc43808706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15</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07" w:history="1">
            <w:r w:rsidR="00815CFD" w:rsidRPr="00815CFD">
              <w:rPr>
                <w:rStyle w:val="Hyperlink"/>
                <w:rFonts w:asciiTheme="minorHAnsi" w:hAnsiTheme="minorHAnsi" w:cstheme="minorHAnsi"/>
                <w:noProof/>
              </w:rPr>
              <w:t>3.3</w:t>
            </w:r>
            <w:r w:rsidR="00815CFD" w:rsidRPr="00815CFD">
              <w:rPr>
                <w:rFonts w:asciiTheme="minorHAnsi" w:hAnsiTheme="minorHAnsi" w:cstheme="minorHAnsi"/>
                <w:noProof/>
                <w:sz w:val="22"/>
                <w:szCs w:val="22"/>
              </w:rPr>
              <w:tab/>
            </w:r>
            <w:r w:rsidR="00815CFD" w:rsidRPr="00815CFD">
              <w:rPr>
                <w:rStyle w:val="Hyperlink"/>
                <w:rFonts w:asciiTheme="minorHAnsi" w:hAnsiTheme="minorHAnsi" w:cstheme="minorHAnsi"/>
                <w:noProof/>
              </w:rPr>
              <w:t>The Afghan Global Insurance (AGI)</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_Toc43808707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16</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08" w:history="1">
            <w:r w:rsidR="00815CFD" w:rsidRPr="00815CFD">
              <w:rPr>
                <w:rStyle w:val="Hyperlink"/>
                <w:rFonts w:asciiTheme="minorHAnsi" w:hAnsiTheme="minorHAnsi" w:cstheme="minorHAnsi"/>
                <w:noProof/>
              </w:rPr>
              <w:t>3.4</w:t>
            </w:r>
            <w:r w:rsidR="00815CFD" w:rsidRPr="00815CFD">
              <w:rPr>
                <w:rFonts w:asciiTheme="minorHAnsi" w:hAnsiTheme="minorHAnsi" w:cstheme="minorHAnsi"/>
                <w:noProof/>
                <w:sz w:val="22"/>
                <w:szCs w:val="22"/>
              </w:rPr>
              <w:tab/>
            </w:r>
            <w:r w:rsidR="00815CFD" w:rsidRPr="00815CFD">
              <w:rPr>
                <w:rStyle w:val="Hyperlink"/>
                <w:rFonts w:asciiTheme="minorHAnsi" w:hAnsiTheme="minorHAnsi" w:cstheme="minorHAnsi"/>
                <w:noProof/>
              </w:rPr>
              <w:t>The SKY Insurance</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_Toc43808708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17</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09" w:history="1">
            <w:r w:rsidR="00815CFD" w:rsidRPr="00815CFD">
              <w:rPr>
                <w:rStyle w:val="Hyperlink"/>
                <w:rFonts w:asciiTheme="minorHAnsi" w:hAnsiTheme="minorHAnsi" w:cstheme="minorHAnsi"/>
                <w:noProof/>
              </w:rPr>
              <w:t>3.5</w:t>
            </w:r>
            <w:r w:rsidR="00815CFD" w:rsidRPr="00815CFD">
              <w:rPr>
                <w:rFonts w:asciiTheme="minorHAnsi" w:hAnsiTheme="minorHAnsi" w:cstheme="minorHAnsi"/>
                <w:noProof/>
                <w:sz w:val="22"/>
                <w:szCs w:val="22"/>
              </w:rPr>
              <w:tab/>
            </w:r>
            <w:r w:rsidR="00815CFD" w:rsidRPr="00815CFD">
              <w:rPr>
                <w:rStyle w:val="Hyperlink"/>
                <w:rFonts w:asciiTheme="minorHAnsi" w:hAnsiTheme="minorHAnsi" w:cstheme="minorHAnsi"/>
                <w:noProof/>
              </w:rPr>
              <w:t>Analysis of the Financial Report of Sadra</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_Toc43808709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18</w:t>
            </w:r>
            <w:r w:rsidR="00815CFD" w:rsidRPr="00815CFD">
              <w:rPr>
                <w:rFonts w:asciiTheme="minorHAnsi" w:hAnsiTheme="minorHAnsi" w:cstheme="minorHAnsi"/>
                <w:noProof/>
                <w:webHidden/>
              </w:rPr>
              <w:fldChar w:fldCharType="end"/>
            </w:r>
          </w:hyperlink>
        </w:p>
        <w:p w:rsidR="00815CFD" w:rsidRPr="00815CFD" w:rsidRDefault="00EE5E38">
          <w:pPr>
            <w:pStyle w:val="TOC2"/>
            <w:tabs>
              <w:tab w:val="right" w:leader="dot" w:pos="9350"/>
            </w:tabs>
            <w:rPr>
              <w:rFonts w:asciiTheme="minorHAnsi" w:hAnsiTheme="minorHAnsi" w:cstheme="minorHAnsi"/>
              <w:noProof/>
              <w:sz w:val="22"/>
              <w:szCs w:val="22"/>
            </w:rPr>
          </w:pPr>
          <w:hyperlink w:anchor="_Toc43808710" w:history="1">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_Toc43808710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19</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11" w:history="1">
            <w:r w:rsidR="00815CFD" w:rsidRPr="00815CFD">
              <w:rPr>
                <w:rStyle w:val="Hyperlink"/>
                <w:rFonts w:asciiTheme="minorHAnsi" w:hAnsiTheme="minorHAnsi" w:cstheme="minorHAnsi"/>
                <w:noProof/>
              </w:rPr>
              <w:t>3.6</w:t>
            </w:r>
            <w:r w:rsidR="00815CFD" w:rsidRPr="00815CFD">
              <w:rPr>
                <w:rFonts w:asciiTheme="minorHAnsi" w:hAnsiTheme="minorHAnsi" w:cstheme="minorHAnsi"/>
                <w:noProof/>
                <w:sz w:val="22"/>
                <w:szCs w:val="22"/>
              </w:rPr>
              <w:tab/>
            </w:r>
            <w:r w:rsidR="00815CFD" w:rsidRPr="00815CFD">
              <w:rPr>
                <w:rStyle w:val="Hyperlink"/>
                <w:rFonts w:asciiTheme="minorHAnsi" w:hAnsiTheme="minorHAnsi" w:cstheme="minorHAnsi"/>
                <w:noProof/>
              </w:rPr>
              <w:t>Mellat Insurance</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_Toc43808711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19</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12" w:history="1">
            <w:r w:rsidR="00815CFD" w:rsidRPr="00815CFD">
              <w:rPr>
                <w:rStyle w:val="Hyperlink"/>
                <w:rFonts w:asciiTheme="minorHAnsi" w:hAnsiTheme="minorHAnsi" w:cstheme="minorHAnsi"/>
                <w:noProof/>
              </w:rPr>
              <w:t>3.7</w:t>
            </w:r>
            <w:r w:rsidR="00815CFD" w:rsidRPr="00815CFD">
              <w:rPr>
                <w:rFonts w:asciiTheme="minorHAnsi" w:hAnsiTheme="minorHAnsi" w:cstheme="minorHAnsi"/>
                <w:noProof/>
                <w:sz w:val="22"/>
                <w:szCs w:val="22"/>
              </w:rPr>
              <w:tab/>
            </w:r>
            <w:r w:rsidR="00815CFD" w:rsidRPr="00815CFD">
              <w:rPr>
                <w:rStyle w:val="Hyperlink"/>
                <w:rFonts w:asciiTheme="minorHAnsi" w:hAnsiTheme="minorHAnsi" w:cstheme="minorHAnsi"/>
                <w:noProof/>
              </w:rPr>
              <w:t>Razi Insurance</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_Toc43808712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19</w:t>
            </w:r>
            <w:r w:rsidR="00815CFD" w:rsidRPr="00815CFD">
              <w:rPr>
                <w:rFonts w:asciiTheme="minorHAnsi" w:hAnsiTheme="minorHAnsi" w:cstheme="minorHAnsi"/>
                <w:noProof/>
                <w:webHidden/>
              </w:rPr>
              <w:fldChar w:fldCharType="end"/>
            </w:r>
          </w:hyperlink>
        </w:p>
        <w:p w:rsidR="00815CFD" w:rsidRPr="00815CFD" w:rsidRDefault="00EE5E38">
          <w:pPr>
            <w:pStyle w:val="TOC1"/>
            <w:tabs>
              <w:tab w:val="right" w:leader="dot" w:pos="9350"/>
            </w:tabs>
            <w:rPr>
              <w:rFonts w:asciiTheme="minorHAnsi" w:hAnsiTheme="minorHAnsi" w:cstheme="minorHAnsi"/>
              <w:noProof/>
              <w:sz w:val="22"/>
              <w:szCs w:val="22"/>
            </w:rPr>
          </w:pPr>
          <w:hyperlink w:anchor="_Toc43808713" w:history="1">
            <w:r w:rsidR="00815CFD" w:rsidRPr="00815CFD">
              <w:rPr>
                <w:rStyle w:val="Hyperlink"/>
                <w:rFonts w:asciiTheme="minorHAnsi" w:eastAsia="Calibri" w:hAnsiTheme="minorHAnsi" w:cstheme="minorHAnsi"/>
                <w:noProof/>
              </w:rPr>
              <w:t>Section 4: Development Initiatives</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_Toc43808713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20</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14" w:history="1">
            <w:r w:rsidR="00815CFD" w:rsidRPr="00815CFD">
              <w:rPr>
                <w:rStyle w:val="Hyperlink"/>
                <w:rFonts w:asciiTheme="minorHAnsi" w:eastAsia="Calibri" w:hAnsiTheme="minorHAnsi" w:cstheme="minorHAnsi"/>
                <w:noProof/>
              </w:rPr>
              <w:t>4.1</w:t>
            </w:r>
            <w:r w:rsidR="00815CFD" w:rsidRPr="00815CFD">
              <w:rPr>
                <w:rFonts w:asciiTheme="minorHAnsi" w:hAnsiTheme="minorHAnsi" w:cstheme="minorHAnsi"/>
                <w:noProof/>
                <w:sz w:val="22"/>
                <w:szCs w:val="22"/>
              </w:rPr>
              <w:tab/>
            </w:r>
            <w:r w:rsidR="00815CFD" w:rsidRPr="00815CFD">
              <w:rPr>
                <w:rStyle w:val="Hyperlink"/>
                <w:rFonts w:asciiTheme="minorHAnsi" w:eastAsia="Calibri" w:hAnsiTheme="minorHAnsi" w:cstheme="minorHAnsi"/>
                <w:noProof/>
              </w:rPr>
              <w:t>Primary laws and legislation</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_Toc43808714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20</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15" w:history="1">
            <w:r w:rsidR="00815CFD" w:rsidRPr="00815CFD">
              <w:rPr>
                <w:rStyle w:val="Hyperlink"/>
                <w:rFonts w:asciiTheme="minorHAnsi" w:eastAsia="Calibri" w:hAnsiTheme="minorHAnsi" w:cstheme="minorHAnsi"/>
                <w:noProof/>
                <w:lang w:bidi="fa-IR"/>
              </w:rPr>
              <w:t>4.2</w:t>
            </w:r>
            <w:r w:rsidR="00815CFD" w:rsidRPr="00815CFD">
              <w:rPr>
                <w:rFonts w:asciiTheme="minorHAnsi" w:hAnsiTheme="minorHAnsi" w:cstheme="minorHAnsi"/>
                <w:noProof/>
                <w:sz w:val="22"/>
                <w:szCs w:val="22"/>
              </w:rPr>
              <w:tab/>
            </w:r>
            <w:r w:rsidR="00815CFD" w:rsidRPr="00815CFD">
              <w:rPr>
                <w:rStyle w:val="Hyperlink"/>
                <w:rFonts w:asciiTheme="minorHAnsi" w:eastAsia="Calibri" w:hAnsiTheme="minorHAnsi" w:cstheme="minorHAnsi"/>
                <w:noProof/>
                <w:lang w:bidi="fa-IR"/>
              </w:rPr>
              <w:t>Regulations</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_Toc43808715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20</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16" w:history="1">
            <w:r w:rsidR="00815CFD" w:rsidRPr="00815CFD">
              <w:rPr>
                <w:rStyle w:val="Hyperlink"/>
                <w:rFonts w:asciiTheme="minorHAnsi" w:eastAsia="Calibri" w:hAnsiTheme="minorHAnsi" w:cstheme="minorHAnsi"/>
                <w:noProof/>
                <w:lang w:bidi="fa-IR"/>
              </w:rPr>
              <w:t>4.3</w:t>
            </w:r>
            <w:r w:rsidR="00815CFD" w:rsidRPr="00815CFD">
              <w:rPr>
                <w:rFonts w:asciiTheme="minorHAnsi" w:hAnsiTheme="minorHAnsi" w:cstheme="minorHAnsi"/>
                <w:noProof/>
                <w:sz w:val="22"/>
                <w:szCs w:val="22"/>
              </w:rPr>
              <w:tab/>
            </w:r>
            <w:r w:rsidR="00815CFD" w:rsidRPr="00815CFD">
              <w:rPr>
                <w:rStyle w:val="Hyperlink"/>
                <w:rFonts w:asciiTheme="minorHAnsi" w:eastAsia="Calibri" w:hAnsiTheme="minorHAnsi" w:cstheme="minorHAnsi"/>
                <w:noProof/>
                <w:lang w:bidi="fa-IR"/>
              </w:rPr>
              <w:t>Regulatory Guidelines and Documents</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_Toc43808716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20</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17" w:history="1">
            <w:r w:rsidR="00815CFD" w:rsidRPr="00815CFD">
              <w:rPr>
                <w:rStyle w:val="Hyperlink"/>
                <w:rFonts w:asciiTheme="minorHAnsi" w:eastAsia="Calibri" w:hAnsiTheme="minorHAnsi" w:cstheme="minorHAnsi"/>
                <w:noProof/>
                <w:lang w:bidi="fa-IR"/>
              </w:rPr>
              <w:t>4.4</w:t>
            </w:r>
            <w:r w:rsidR="00815CFD" w:rsidRPr="00815CFD">
              <w:rPr>
                <w:rFonts w:asciiTheme="minorHAnsi" w:hAnsiTheme="minorHAnsi" w:cstheme="minorHAnsi"/>
                <w:noProof/>
                <w:sz w:val="22"/>
                <w:szCs w:val="22"/>
              </w:rPr>
              <w:tab/>
            </w:r>
            <w:r w:rsidR="00815CFD" w:rsidRPr="00815CFD">
              <w:rPr>
                <w:rStyle w:val="Hyperlink"/>
                <w:rFonts w:asciiTheme="minorHAnsi" w:eastAsia="Calibri" w:hAnsiTheme="minorHAnsi" w:cstheme="minorHAnsi"/>
                <w:noProof/>
                <w:lang w:bidi="fa-IR"/>
              </w:rPr>
              <w:t>Supervision and Enforcement systems</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_Toc43808717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20</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18" w:history="1">
            <w:r w:rsidR="00815CFD" w:rsidRPr="00815CFD">
              <w:rPr>
                <w:rStyle w:val="Hyperlink"/>
                <w:rFonts w:asciiTheme="minorHAnsi" w:eastAsia="Calibri" w:hAnsiTheme="minorHAnsi" w:cstheme="minorHAnsi"/>
                <w:noProof/>
              </w:rPr>
              <w:t>4.5</w:t>
            </w:r>
            <w:r w:rsidR="00815CFD" w:rsidRPr="00815CFD">
              <w:rPr>
                <w:rFonts w:asciiTheme="minorHAnsi" w:hAnsiTheme="minorHAnsi" w:cstheme="minorHAnsi"/>
                <w:noProof/>
                <w:sz w:val="22"/>
                <w:szCs w:val="22"/>
              </w:rPr>
              <w:tab/>
            </w:r>
            <w:r w:rsidR="00815CFD" w:rsidRPr="00815CFD">
              <w:rPr>
                <w:rStyle w:val="Hyperlink"/>
                <w:rFonts w:asciiTheme="minorHAnsi" w:eastAsia="Calibri" w:hAnsiTheme="minorHAnsi" w:cstheme="minorHAnsi"/>
                <w:noProof/>
              </w:rPr>
              <w:t>External affairs and public relation activities</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_Toc43808718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21</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19" w:history="1">
            <w:r w:rsidR="00815CFD" w:rsidRPr="00815CFD">
              <w:rPr>
                <w:rStyle w:val="Hyperlink"/>
                <w:rFonts w:asciiTheme="minorHAnsi" w:hAnsiTheme="minorHAnsi" w:cstheme="minorHAnsi"/>
                <w:noProof/>
              </w:rPr>
              <w:t xml:space="preserve">4.6 </w:t>
            </w:r>
            <w:r w:rsidR="00815CFD" w:rsidRPr="00815CFD">
              <w:rPr>
                <w:rFonts w:asciiTheme="minorHAnsi" w:hAnsiTheme="minorHAnsi" w:cstheme="minorHAnsi"/>
                <w:noProof/>
                <w:sz w:val="22"/>
                <w:szCs w:val="22"/>
              </w:rPr>
              <w:tab/>
            </w:r>
            <w:r w:rsidR="00815CFD" w:rsidRPr="00815CFD">
              <w:rPr>
                <w:rStyle w:val="Hyperlink"/>
                <w:rFonts w:asciiTheme="minorHAnsi" w:hAnsiTheme="minorHAnsi" w:cstheme="minorHAnsi"/>
                <w:noProof/>
              </w:rPr>
              <w:t>Memorandums and Agreements</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_Toc43808719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26</w:t>
            </w:r>
            <w:r w:rsidR="00815CFD" w:rsidRPr="00815CFD">
              <w:rPr>
                <w:rFonts w:asciiTheme="minorHAnsi" w:hAnsiTheme="minorHAnsi" w:cstheme="minorHAnsi"/>
                <w:noProof/>
                <w:webHidden/>
              </w:rPr>
              <w:fldChar w:fldCharType="end"/>
            </w:r>
          </w:hyperlink>
        </w:p>
        <w:p w:rsidR="00815CFD" w:rsidRPr="00815CFD" w:rsidRDefault="00EE5E38">
          <w:pPr>
            <w:pStyle w:val="TOC3"/>
            <w:tabs>
              <w:tab w:val="left" w:pos="1320"/>
              <w:tab w:val="right" w:leader="dot" w:pos="9350"/>
            </w:tabs>
            <w:rPr>
              <w:rFonts w:asciiTheme="minorHAnsi" w:hAnsiTheme="minorHAnsi" w:cstheme="minorHAnsi"/>
              <w:noProof/>
              <w:sz w:val="22"/>
              <w:szCs w:val="22"/>
            </w:rPr>
          </w:pPr>
          <w:hyperlink w:anchor="_Toc43808720" w:history="1">
            <w:r w:rsidR="00815CFD" w:rsidRPr="00815CFD">
              <w:rPr>
                <w:rStyle w:val="Hyperlink"/>
                <w:rFonts w:asciiTheme="minorHAnsi" w:eastAsia="Calibri" w:hAnsiTheme="minorHAnsi" w:cstheme="minorHAnsi"/>
                <w:noProof/>
              </w:rPr>
              <w:t>4.6.1</w:t>
            </w:r>
            <w:r w:rsidR="00815CFD" w:rsidRPr="00815CFD">
              <w:rPr>
                <w:rFonts w:asciiTheme="minorHAnsi" w:hAnsiTheme="minorHAnsi" w:cstheme="minorHAnsi"/>
                <w:noProof/>
                <w:sz w:val="22"/>
                <w:szCs w:val="22"/>
              </w:rPr>
              <w:tab/>
            </w:r>
            <w:r w:rsidR="00815CFD" w:rsidRPr="00815CFD">
              <w:rPr>
                <w:rStyle w:val="Hyperlink"/>
                <w:rFonts w:asciiTheme="minorHAnsi" w:eastAsia="Calibri" w:hAnsiTheme="minorHAnsi" w:cstheme="minorHAnsi"/>
                <w:noProof/>
              </w:rPr>
              <w:t>Foreign</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_Toc43808720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26</w:t>
            </w:r>
            <w:r w:rsidR="00815CFD" w:rsidRPr="00815CFD">
              <w:rPr>
                <w:rFonts w:asciiTheme="minorHAnsi" w:hAnsiTheme="minorHAnsi" w:cstheme="minorHAnsi"/>
                <w:noProof/>
                <w:webHidden/>
              </w:rPr>
              <w:fldChar w:fldCharType="end"/>
            </w:r>
          </w:hyperlink>
        </w:p>
        <w:p w:rsidR="00815CFD" w:rsidRPr="00815CFD" w:rsidRDefault="00EE5E38">
          <w:pPr>
            <w:pStyle w:val="TOC3"/>
            <w:tabs>
              <w:tab w:val="left" w:pos="1320"/>
              <w:tab w:val="right" w:leader="dot" w:pos="9350"/>
            </w:tabs>
            <w:rPr>
              <w:rFonts w:asciiTheme="minorHAnsi" w:hAnsiTheme="minorHAnsi" w:cstheme="minorHAnsi"/>
              <w:noProof/>
              <w:sz w:val="22"/>
              <w:szCs w:val="22"/>
            </w:rPr>
          </w:pPr>
          <w:hyperlink w:anchor="_Toc43808721" w:history="1">
            <w:r w:rsidR="00815CFD" w:rsidRPr="00815CFD">
              <w:rPr>
                <w:rStyle w:val="Hyperlink"/>
                <w:rFonts w:asciiTheme="minorHAnsi" w:eastAsia="Calibri" w:hAnsiTheme="minorHAnsi" w:cstheme="minorHAnsi"/>
                <w:noProof/>
              </w:rPr>
              <w:t xml:space="preserve">4.6.1 </w:t>
            </w:r>
            <w:r w:rsidR="00815CFD" w:rsidRPr="00815CFD">
              <w:rPr>
                <w:rFonts w:asciiTheme="minorHAnsi" w:hAnsiTheme="minorHAnsi" w:cstheme="minorHAnsi"/>
                <w:noProof/>
                <w:sz w:val="22"/>
                <w:szCs w:val="22"/>
              </w:rPr>
              <w:tab/>
            </w:r>
            <w:r w:rsidR="00815CFD" w:rsidRPr="00815CFD">
              <w:rPr>
                <w:rStyle w:val="Hyperlink"/>
                <w:rFonts w:asciiTheme="minorHAnsi" w:eastAsia="Calibri" w:hAnsiTheme="minorHAnsi" w:cstheme="minorHAnsi"/>
                <w:noProof/>
              </w:rPr>
              <w:t>Domestic</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_Toc43808721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27</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22" w:history="1">
            <w:r w:rsidR="00815CFD" w:rsidRPr="00815CFD">
              <w:rPr>
                <w:rStyle w:val="Hyperlink"/>
                <w:rFonts w:asciiTheme="minorHAnsi" w:eastAsia="Calibri" w:hAnsiTheme="minorHAnsi" w:cstheme="minorHAnsi"/>
                <w:noProof/>
              </w:rPr>
              <w:t>4.7</w:t>
            </w:r>
            <w:r w:rsidR="00815CFD" w:rsidRPr="00815CFD">
              <w:rPr>
                <w:rFonts w:asciiTheme="minorHAnsi" w:hAnsiTheme="minorHAnsi" w:cstheme="minorHAnsi"/>
                <w:noProof/>
                <w:sz w:val="22"/>
                <w:szCs w:val="22"/>
              </w:rPr>
              <w:tab/>
            </w:r>
            <w:r w:rsidR="00815CFD" w:rsidRPr="00815CFD">
              <w:rPr>
                <w:rStyle w:val="Hyperlink"/>
                <w:rFonts w:asciiTheme="minorHAnsi" w:eastAsia="Calibri" w:hAnsiTheme="minorHAnsi" w:cstheme="minorHAnsi"/>
                <w:noProof/>
              </w:rPr>
              <w:t>Other activities and functions performed by GDIA</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_Toc43808722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27</w:t>
            </w:r>
            <w:r w:rsidR="00815CFD" w:rsidRPr="00815CFD">
              <w:rPr>
                <w:rFonts w:asciiTheme="minorHAnsi" w:hAnsiTheme="minorHAnsi" w:cstheme="minorHAnsi"/>
                <w:noProof/>
                <w:webHidden/>
              </w:rPr>
              <w:fldChar w:fldCharType="end"/>
            </w:r>
          </w:hyperlink>
        </w:p>
        <w:p w:rsidR="00815CFD" w:rsidRPr="00815CFD" w:rsidRDefault="00EE5E38">
          <w:pPr>
            <w:pStyle w:val="TOC1"/>
            <w:tabs>
              <w:tab w:val="right" w:leader="dot" w:pos="9350"/>
            </w:tabs>
            <w:rPr>
              <w:rFonts w:asciiTheme="minorHAnsi" w:hAnsiTheme="minorHAnsi" w:cstheme="minorHAnsi"/>
              <w:noProof/>
              <w:sz w:val="22"/>
              <w:szCs w:val="22"/>
            </w:rPr>
          </w:pPr>
          <w:hyperlink w:anchor="_Toc43808723" w:history="1">
            <w:r w:rsidR="00815CFD" w:rsidRPr="00815CFD">
              <w:rPr>
                <w:rStyle w:val="Hyperlink"/>
                <w:rFonts w:asciiTheme="minorHAnsi" w:eastAsia="Calibri" w:hAnsiTheme="minorHAnsi" w:cstheme="minorHAnsi"/>
                <w:noProof/>
              </w:rPr>
              <w:t>Section 5: Achievements and Donor support</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_Toc43808723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29</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24" w:history="1">
            <w:r w:rsidR="00815CFD" w:rsidRPr="00815CFD">
              <w:rPr>
                <w:rStyle w:val="Hyperlink"/>
                <w:rFonts w:asciiTheme="minorHAnsi" w:hAnsiTheme="minorHAnsi" w:cstheme="minorHAnsi"/>
                <w:noProof/>
              </w:rPr>
              <w:t>5.1</w:t>
            </w:r>
            <w:r w:rsidR="00815CFD" w:rsidRPr="00815CFD">
              <w:rPr>
                <w:rFonts w:asciiTheme="minorHAnsi" w:hAnsiTheme="minorHAnsi" w:cstheme="minorHAnsi"/>
                <w:noProof/>
                <w:sz w:val="22"/>
                <w:szCs w:val="22"/>
              </w:rPr>
              <w:tab/>
            </w:r>
            <w:r w:rsidR="00815CFD" w:rsidRPr="00815CFD">
              <w:rPr>
                <w:rStyle w:val="Hyperlink"/>
                <w:rFonts w:asciiTheme="minorHAnsi" w:hAnsiTheme="minorHAnsi" w:cstheme="minorHAnsi"/>
                <w:noProof/>
              </w:rPr>
              <w:t>Support from the World Bank Group</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_Toc43808724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29</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25" w:history="1">
            <w:r w:rsidR="00815CFD" w:rsidRPr="00815CFD">
              <w:rPr>
                <w:rStyle w:val="Hyperlink"/>
                <w:rFonts w:asciiTheme="minorHAnsi" w:hAnsiTheme="minorHAnsi" w:cstheme="minorHAnsi"/>
                <w:noProof/>
              </w:rPr>
              <w:t>5.2</w:t>
            </w:r>
            <w:r w:rsidR="00815CFD" w:rsidRPr="00815CFD">
              <w:rPr>
                <w:rFonts w:asciiTheme="minorHAnsi" w:hAnsiTheme="minorHAnsi" w:cstheme="minorHAnsi"/>
                <w:noProof/>
                <w:sz w:val="22"/>
                <w:szCs w:val="22"/>
              </w:rPr>
              <w:tab/>
            </w:r>
            <w:r w:rsidR="00815CFD" w:rsidRPr="00815CFD">
              <w:rPr>
                <w:rStyle w:val="Hyperlink"/>
                <w:rFonts w:asciiTheme="minorHAnsi" w:hAnsiTheme="minorHAnsi" w:cstheme="minorHAnsi"/>
                <w:noProof/>
              </w:rPr>
              <w:t>Support from the Islamic Development Bank</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_Toc43808725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29</w:t>
            </w:r>
            <w:r w:rsidR="00815CFD" w:rsidRPr="00815CFD">
              <w:rPr>
                <w:rFonts w:asciiTheme="minorHAnsi" w:hAnsiTheme="minorHAnsi" w:cstheme="minorHAnsi"/>
                <w:noProof/>
                <w:webHidden/>
              </w:rPr>
              <w:fldChar w:fldCharType="end"/>
            </w:r>
          </w:hyperlink>
        </w:p>
        <w:p w:rsidR="00815CFD" w:rsidRPr="00815CFD" w:rsidRDefault="00EE5E38">
          <w:pPr>
            <w:pStyle w:val="TOC2"/>
            <w:tabs>
              <w:tab w:val="left" w:pos="880"/>
              <w:tab w:val="right" w:leader="dot" w:pos="9350"/>
            </w:tabs>
            <w:rPr>
              <w:rFonts w:asciiTheme="minorHAnsi" w:hAnsiTheme="minorHAnsi" w:cstheme="minorHAnsi"/>
              <w:noProof/>
              <w:sz w:val="22"/>
              <w:szCs w:val="22"/>
            </w:rPr>
          </w:pPr>
          <w:hyperlink w:anchor="_Toc43808727" w:history="1">
            <w:r w:rsidR="00BA049D">
              <w:rPr>
                <w:rStyle w:val="Hyperlink"/>
                <w:rFonts w:asciiTheme="minorHAnsi" w:hAnsiTheme="minorHAnsi" w:cstheme="minorHAnsi"/>
                <w:noProof/>
              </w:rPr>
              <w:t>5.3</w:t>
            </w:r>
            <w:r w:rsidR="00815CFD" w:rsidRPr="00815CFD">
              <w:rPr>
                <w:rFonts w:asciiTheme="minorHAnsi" w:hAnsiTheme="minorHAnsi" w:cstheme="minorHAnsi"/>
                <w:noProof/>
                <w:sz w:val="22"/>
                <w:szCs w:val="22"/>
              </w:rPr>
              <w:tab/>
            </w:r>
            <w:r w:rsidR="00815CFD" w:rsidRPr="00815CFD">
              <w:rPr>
                <w:rStyle w:val="Hyperlink"/>
                <w:rFonts w:asciiTheme="minorHAnsi" w:hAnsiTheme="minorHAnsi" w:cstheme="minorHAnsi"/>
                <w:noProof/>
              </w:rPr>
              <w:t>Achievements</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_Toc43808727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30</w:t>
            </w:r>
            <w:r w:rsidR="00815CFD" w:rsidRPr="00815CFD">
              <w:rPr>
                <w:rFonts w:asciiTheme="minorHAnsi" w:hAnsiTheme="minorHAnsi" w:cstheme="minorHAnsi"/>
                <w:noProof/>
                <w:webHidden/>
              </w:rPr>
              <w:fldChar w:fldCharType="end"/>
            </w:r>
          </w:hyperlink>
        </w:p>
        <w:p w:rsidR="00815CFD" w:rsidRPr="00815CFD" w:rsidRDefault="00EE5E38">
          <w:pPr>
            <w:pStyle w:val="TOC1"/>
            <w:tabs>
              <w:tab w:val="right" w:leader="dot" w:pos="9350"/>
            </w:tabs>
            <w:rPr>
              <w:rFonts w:asciiTheme="minorHAnsi" w:hAnsiTheme="minorHAnsi" w:cstheme="minorHAnsi"/>
              <w:noProof/>
              <w:sz w:val="22"/>
              <w:szCs w:val="22"/>
            </w:rPr>
          </w:pPr>
          <w:hyperlink w:anchor="_Toc43808728" w:history="1">
            <w:r w:rsidR="00815CFD" w:rsidRPr="00815CFD">
              <w:rPr>
                <w:rStyle w:val="Hyperlink"/>
                <w:rFonts w:asciiTheme="minorHAnsi" w:eastAsia="Calibri" w:hAnsiTheme="minorHAnsi" w:cstheme="minorHAnsi"/>
                <w:noProof/>
              </w:rPr>
              <w:t>Section 6: Conclusion and Future Direction</w:t>
            </w:r>
            <w:r w:rsidR="00815CFD" w:rsidRPr="00815CFD">
              <w:rPr>
                <w:rFonts w:asciiTheme="minorHAnsi" w:hAnsiTheme="minorHAnsi" w:cstheme="minorHAnsi"/>
                <w:noProof/>
                <w:webHidden/>
              </w:rPr>
              <w:tab/>
            </w:r>
            <w:r w:rsidR="00815CFD" w:rsidRPr="00815CFD">
              <w:rPr>
                <w:rFonts w:asciiTheme="minorHAnsi" w:hAnsiTheme="minorHAnsi" w:cstheme="minorHAnsi"/>
                <w:noProof/>
                <w:webHidden/>
              </w:rPr>
              <w:fldChar w:fldCharType="begin"/>
            </w:r>
            <w:r w:rsidR="00815CFD" w:rsidRPr="00815CFD">
              <w:rPr>
                <w:rFonts w:asciiTheme="minorHAnsi" w:hAnsiTheme="minorHAnsi" w:cstheme="minorHAnsi"/>
                <w:noProof/>
                <w:webHidden/>
              </w:rPr>
              <w:instrText xml:space="preserve"> PAGEREF _Toc43808728 \h </w:instrText>
            </w:r>
            <w:r w:rsidR="00815CFD" w:rsidRPr="00815CFD">
              <w:rPr>
                <w:rFonts w:asciiTheme="minorHAnsi" w:hAnsiTheme="minorHAnsi" w:cstheme="minorHAnsi"/>
                <w:noProof/>
                <w:webHidden/>
              </w:rPr>
            </w:r>
            <w:r w:rsidR="00815CFD" w:rsidRPr="00815CFD">
              <w:rPr>
                <w:rFonts w:asciiTheme="minorHAnsi" w:hAnsiTheme="minorHAnsi" w:cstheme="minorHAnsi"/>
                <w:noProof/>
                <w:webHidden/>
              </w:rPr>
              <w:fldChar w:fldCharType="separate"/>
            </w:r>
            <w:r w:rsidR="00815CFD" w:rsidRPr="00815CFD">
              <w:rPr>
                <w:rFonts w:asciiTheme="minorHAnsi" w:hAnsiTheme="minorHAnsi" w:cstheme="minorHAnsi"/>
                <w:noProof/>
                <w:webHidden/>
              </w:rPr>
              <w:t>31</w:t>
            </w:r>
            <w:r w:rsidR="00815CFD" w:rsidRPr="00815CFD">
              <w:rPr>
                <w:rFonts w:asciiTheme="minorHAnsi" w:hAnsiTheme="minorHAnsi" w:cstheme="minorHAnsi"/>
                <w:noProof/>
                <w:webHidden/>
              </w:rPr>
              <w:fldChar w:fldCharType="end"/>
            </w:r>
          </w:hyperlink>
        </w:p>
        <w:p w:rsidR="00ED564A" w:rsidRPr="00815CFD" w:rsidRDefault="00B40A09" w:rsidP="00820E71">
          <w:pPr>
            <w:spacing w:line="360" w:lineRule="auto"/>
            <w:rPr>
              <w:rFonts w:asciiTheme="minorHAnsi" w:hAnsiTheme="minorHAnsi" w:cstheme="minorHAnsi"/>
              <w:b/>
              <w:bCs/>
              <w:noProof/>
              <w:sz w:val="22"/>
              <w:szCs w:val="22"/>
            </w:rPr>
          </w:pPr>
          <w:r w:rsidRPr="00815CFD">
            <w:rPr>
              <w:rFonts w:asciiTheme="minorHAnsi" w:hAnsiTheme="minorHAnsi" w:cstheme="minorHAnsi"/>
              <w:b/>
              <w:bCs/>
              <w:noProof/>
              <w:sz w:val="22"/>
              <w:szCs w:val="22"/>
            </w:rPr>
            <w:fldChar w:fldCharType="end"/>
          </w:r>
        </w:p>
        <w:p w:rsidR="00ED564A" w:rsidRPr="00ED564A" w:rsidRDefault="00EE5E38" w:rsidP="00ED564A">
          <w:pPr>
            <w:spacing w:line="360" w:lineRule="auto"/>
            <w:rPr>
              <w:rFonts w:asciiTheme="minorHAnsi" w:hAnsiTheme="minorHAnsi" w:cstheme="minorHAnsi"/>
              <w:sz w:val="22"/>
              <w:szCs w:val="22"/>
            </w:rPr>
          </w:pPr>
        </w:p>
      </w:sdtContent>
    </w:sdt>
    <w:p w:rsidR="00820E71" w:rsidRDefault="00820E71" w:rsidP="002666E0">
      <w:pPr>
        <w:pStyle w:val="Heading1"/>
      </w:pPr>
    </w:p>
    <w:p w:rsidR="00820E71" w:rsidRDefault="00820E71" w:rsidP="00820E71"/>
    <w:p w:rsidR="00820E71" w:rsidRPr="00820E71" w:rsidRDefault="00820E71" w:rsidP="00820E71"/>
    <w:p w:rsidR="00815CFD" w:rsidRDefault="00815CFD">
      <w:pPr>
        <w:spacing w:after="160" w:line="259" w:lineRule="auto"/>
        <w:rPr>
          <w:rFonts w:asciiTheme="majorHAnsi" w:eastAsiaTheme="majorEastAsia" w:hAnsiTheme="majorHAnsi" w:cstheme="majorBidi"/>
          <w:color w:val="365F91" w:themeColor="accent1" w:themeShade="BF"/>
          <w:sz w:val="32"/>
          <w:szCs w:val="32"/>
        </w:rPr>
      </w:pPr>
      <w:bookmarkStart w:id="1" w:name="_Toc43808694"/>
      <w:r>
        <w:br w:type="page"/>
      </w:r>
    </w:p>
    <w:p w:rsidR="002666E0" w:rsidRPr="00F3124A" w:rsidRDefault="002666E0" w:rsidP="002666E0">
      <w:pPr>
        <w:pStyle w:val="Heading1"/>
      </w:pPr>
      <w:r w:rsidRPr="00F3124A">
        <w:lastRenderedPageBreak/>
        <w:t>Message from the Director General</w:t>
      </w:r>
      <w:bookmarkEnd w:id="1"/>
    </w:p>
    <w:p w:rsidR="002666E0" w:rsidRPr="00F3124A" w:rsidRDefault="002666E0" w:rsidP="002666E0">
      <w:pPr>
        <w:pStyle w:val="NoSpacing"/>
        <w:jc w:val="both"/>
        <w:rPr>
          <w:rFonts w:cstheme="minorHAnsi"/>
          <w:sz w:val="24"/>
          <w:szCs w:val="24"/>
        </w:rPr>
      </w:pPr>
    </w:p>
    <w:p w:rsidR="002666E0" w:rsidRPr="001F24AA" w:rsidRDefault="002666E0" w:rsidP="002666E0">
      <w:pPr>
        <w:pStyle w:val="NoSpacing"/>
        <w:jc w:val="both"/>
        <w:rPr>
          <w:rFonts w:eastAsia="Times New Roman" w:cstheme="minorHAnsi"/>
          <w:color w:val="000000" w:themeColor="text1"/>
          <w:szCs w:val="24"/>
          <w:lang w:val="en-AU" w:eastAsia="en-AU"/>
        </w:rPr>
      </w:pPr>
      <w:r w:rsidRPr="001F24AA">
        <w:rPr>
          <w:rFonts w:cstheme="minorHAnsi"/>
          <w:noProof/>
          <w:color w:val="000000" w:themeColor="text1"/>
          <w:szCs w:val="24"/>
        </w:rPr>
        <w:drawing>
          <wp:anchor distT="0" distB="0" distL="114300" distR="114300" simplePos="0" relativeHeight="251644416" behindDoc="1" locked="0" layoutInCell="1" allowOverlap="1" wp14:anchorId="55E859F1" wp14:editId="4DCF5D40">
            <wp:simplePos x="0" y="0"/>
            <wp:positionH relativeFrom="margin">
              <wp:posOffset>3691890</wp:posOffset>
            </wp:positionH>
            <wp:positionV relativeFrom="paragraph">
              <wp:posOffset>23495</wp:posOffset>
            </wp:positionV>
            <wp:extent cx="2159635" cy="2030730"/>
            <wp:effectExtent l="133350" t="114300" r="145415" b="1600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635" cy="2030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F24AA">
        <w:rPr>
          <w:rFonts w:eastAsia="Times New Roman" w:cstheme="minorHAnsi"/>
          <w:color w:val="000000" w:themeColor="text1"/>
          <w:szCs w:val="24"/>
          <w:lang w:val="en-AU" w:eastAsia="en-AU"/>
        </w:rPr>
        <w:t>As the insurance helps in providing protection against financial risks to various segments the society and supports economic development, it also helps in providing protection to business and investment activities.  The insurance industry, just like other parts of financial sector, remain crucial to providing and facilitating a secure and stable macroeconomic environment in the country.</w:t>
      </w:r>
    </w:p>
    <w:p w:rsidR="002666E0" w:rsidRPr="001F24AA" w:rsidRDefault="002666E0" w:rsidP="002666E0">
      <w:pPr>
        <w:pStyle w:val="NoSpacing"/>
        <w:jc w:val="both"/>
        <w:rPr>
          <w:rFonts w:eastAsia="Times New Roman" w:cstheme="minorHAnsi"/>
          <w:color w:val="000000" w:themeColor="text1"/>
          <w:szCs w:val="24"/>
          <w:lang w:val="en-AU" w:eastAsia="en-AU"/>
        </w:rPr>
      </w:pPr>
    </w:p>
    <w:p w:rsidR="002666E0" w:rsidRPr="001F24AA" w:rsidRDefault="002666E0" w:rsidP="002666E0">
      <w:pPr>
        <w:pStyle w:val="NoSpacing"/>
        <w:jc w:val="both"/>
        <w:rPr>
          <w:rFonts w:eastAsia="Times New Roman" w:cstheme="minorHAnsi"/>
          <w:color w:val="000000" w:themeColor="text1"/>
          <w:szCs w:val="24"/>
          <w:lang w:val="en-AU" w:eastAsia="en-AU"/>
        </w:rPr>
      </w:pPr>
      <w:r w:rsidRPr="001F24AA">
        <w:rPr>
          <w:rFonts w:eastAsia="Times New Roman" w:cstheme="minorHAnsi"/>
          <w:color w:val="000000" w:themeColor="text1"/>
          <w:szCs w:val="24"/>
          <w:lang w:val="en-AU" w:eastAsia="en-AU"/>
        </w:rPr>
        <w:t xml:space="preserve">In most of the developed as well as many developing economies, the contribution of insurance industry remains high as a percentage of their GDP.  However, like other sectors of the economy, the insurance industry in Afghanistan remained underdeveloped due to instable political situation in last three decades.  Now with the continuously improving political and economic situation, supported by the international community, the country’s business sectors are showing promising future, including the insurance industry. </w:t>
      </w:r>
    </w:p>
    <w:p w:rsidR="002666E0" w:rsidRPr="001F24AA" w:rsidRDefault="002666E0" w:rsidP="002666E0">
      <w:pPr>
        <w:pStyle w:val="NoSpacing"/>
        <w:jc w:val="both"/>
        <w:rPr>
          <w:rFonts w:eastAsia="Times New Roman" w:cstheme="minorHAnsi"/>
          <w:color w:val="000000" w:themeColor="text1"/>
          <w:szCs w:val="24"/>
          <w:lang w:val="en-AU" w:eastAsia="en-AU"/>
        </w:rPr>
      </w:pPr>
    </w:p>
    <w:p w:rsidR="002666E0" w:rsidRPr="001F24AA" w:rsidRDefault="002666E0" w:rsidP="002666E0">
      <w:pPr>
        <w:pStyle w:val="NoSpacing"/>
        <w:jc w:val="both"/>
        <w:rPr>
          <w:rFonts w:eastAsia="Times New Roman" w:cstheme="minorHAnsi"/>
          <w:color w:val="000000" w:themeColor="text1"/>
          <w:szCs w:val="24"/>
          <w:lang w:val="en-AU" w:eastAsia="en-AU"/>
        </w:rPr>
      </w:pPr>
      <w:r w:rsidRPr="001F24AA">
        <w:rPr>
          <w:rFonts w:eastAsia="Times New Roman" w:cstheme="minorHAnsi"/>
          <w:color w:val="000000" w:themeColor="text1"/>
          <w:szCs w:val="24"/>
          <w:lang w:val="en-AU" w:eastAsia="en-AU"/>
        </w:rPr>
        <w:t>At the General Directorate of Insurance Affairs (GDIA), under the leadership of the Ministry of Finance, we are striving to further develop the insurance industry and strengthen the protection of insurance policyholders.  The GDIA has also initiated measures for the development of the insurance market through the better regulatory framework and suitable amendments in the insurance law, improved regulations and policies, and strengthening of supervisory practices.</w:t>
      </w:r>
    </w:p>
    <w:p w:rsidR="002666E0" w:rsidRPr="001F24AA" w:rsidRDefault="002666E0" w:rsidP="002666E0">
      <w:pPr>
        <w:pStyle w:val="NoSpacing"/>
        <w:jc w:val="both"/>
        <w:rPr>
          <w:rFonts w:eastAsia="Times New Roman" w:cstheme="minorHAnsi"/>
          <w:color w:val="000000" w:themeColor="text1"/>
          <w:szCs w:val="24"/>
          <w:lang w:val="en-AU" w:eastAsia="en-AU"/>
        </w:rPr>
      </w:pPr>
    </w:p>
    <w:p w:rsidR="002666E0" w:rsidRPr="001F24AA" w:rsidRDefault="002666E0" w:rsidP="002666E0">
      <w:pPr>
        <w:pStyle w:val="NoSpacing"/>
        <w:jc w:val="both"/>
        <w:rPr>
          <w:rFonts w:eastAsia="Times New Roman" w:cstheme="minorHAnsi"/>
          <w:color w:val="000000" w:themeColor="text1"/>
          <w:szCs w:val="24"/>
          <w:lang w:val="en-AU" w:eastAsia="en-AU"/>
        </w:rPr>
      </w:pPr>
      <w:r w:rsidRPr="001F24AA">
        <w:rPr>
          <w:rFonts w:eastAsia="Times New Roman" w:cstheme="minorHAnsi"/>
          <w:color w:val="000000" w:themeColor="text1"/>
          <w:szCs w:val="24"/>
          <w:lang w:val="en-AU" w:eastAsia="en-AU"/>
        </w:rPr>
        <w:t xml:space="preserve">During last few years, the GDIA has also carried out insurance market development activities and public awareness programs across the country to educate the mass public and enhance insurance literacy.  GDIA has also successfully established bilateral relationships and cooperation with various insurance regulators in other countries.  With its continued efforts, the GDIA has been recognized by the World Bank in its validation exercise as one of the top performers in attainment of the strategic goals. </w:t>
      </w:r>
    </w:p>
    <w:p w:rsidR="002666E0" w:rsidRPr="001F24AA" w:rsidRDefault="002666E0" w:rsidP="002666E0">
      <w:pPr>
        <w:pStyle w:val="NoSpacing"/>
        <w:jc w:val="both"/>
        <w:rPr>
          <w:rFonts w:eastAsia="Times New Roman" w:cstheme="minorHAnsi"/>
          <w:color w:val="000000" w:themeColor="text1"/>
          <w:szCs w:val="24"/>
          <w:lang w:val="en-AU" w:eastAsia="en-AU"/>
        </w:rPr>
      </w:pPr>
    </w:p>
    <w:p w:rsidR="002666E0" w:rsidRPr="001F24AA" w:rsidRDefault="002666E0" w:rsidP="002666E0">
      <w:pPr>
        <w:pStyle w:val="NoSpacing"/>
        <w:jc w:val="both"/>
        <w:rPr>
          <w:rFonts w:eastAsia="Times New Roman" w:cstheme="minorHAnsi"/>
          <w:color w:val="000000" w:themeColor="text1"/>
          <w:szCs w:val="24"/>
          <w:lang w:val="en-AU" w:eastAsia="en-AU"/>
        </w:rPr>
      </w:pPr>
      <w:r w:rsidRPr="001F24AA">
        <w:rPr>
          <w:rFonts w:eastAsia="Times New Roman" w:cstheme="minorHAnsi"/>
          <w:color w:val="000000" w:themeColor="text1"/>
          <w:szCs w:val="24"/>
          <w:lang w:val="en-AU" w:eastAsia="en-AU"/>
        </w:rPr>
        <w:t>The GDIA remain grateful to the Ministry of Finance for its continued encouragement and support.  It also remains thankful to its donors and development partners for helping out in the development of the insurance sector and achieving the strategic objectives.  GDIA remains committed to continue efforts to foster a well-developed and stable insurance market, where policyholders are protected and transparent market practices result in flourishing economic development.</w:t>
      </w:r>
    </w:p>
    <w:p w:rsidR="002666E0" w:rsidRPr="001F24AA" w:rsidRDefault="002666E0" w:rsidP="002666E0">
      <w:pPr>
        <w:pStyle w:val="NoSpacing"/>
        <w:jc w:val="both"/>
        <w:rPr>
          <w:rFonts w:cstheme="minorHAnsi"/>
          <w:szCs w:val="24"/>
        </w:rPr>
      </w:pPr>
    </w:p>
    <w:p w:rsidR="002666E0" w:rsidRPr="001F24AA" w:rsidRDefault="002666E0" w:rsidP="002666E0">
      <w:pPr>
        <w:pStyle w:val="NoSpacing"/>
        <w:jc w:val="both"/>
        <w:rPr>
          <w:rFonts w:cstheme="minorHAnsi"/>
          <w:szCs w:val="24"/>
        </w:rPr>
      </w:pPr>
    </w:p>
    <w:p w:rsidR="002666E0" w:rsidRPr="001F24AA" w:rsidRDefault="002666E0" w:rsidP="002666E0">
      <w:pPr>
        <w:pStyle w:val="NoSpacing"/>
        <w:jc w:val="both"/>
        <w:rPr>
          <w:rFonts w:cstheme="minorHAnsi"/>
          <w:i/>
          <w:iCs/>
          <w:color w:val="000000" w:themeColor="text1"/>
          <w:szCs w:val="24"/>
        </w:rPr>
      </w:pPr>
    </w:p>
    <w:p w:rsidR="002666E0" w:rsidRPr="001F24AA" w:rsidRDefault="002666E0" w:rsidP="002666E0">
      <w:pPr>
        <w:pStyle w:val="NoSpacing"/>
        <w:jc w:val="both"/>
        <w:rPr>
          <w:rFonts w:cstheme="minorHAnsi"/>
          <w:b/>
          <w:i/>
          <w:iCs/>
          <w:color w:val="000000" w:themeColor="text1"/>
          <w:szCs w:val="24"/>
        </w:rPr>
      </w:pPr>
      <w:r w:rsidRPr="001F24AA">
        <w:rPr>
          <w:rFonts w:cstheme="minorHAnsi"/>
          <w:b/>
          <w:i/>
          <w:iCs/>
          <w:color w:val="000000" w:themeColor="text1"/>
          <w:szCs w:val="24"/>
        </w:rPr>
        <w:t>Mohammad Musa Kamawi</w:t>
      </w:r>
    </w:p>
    <w:p w:rsidR="002666E0" w:rsidRPr="001F24AA" w:rsidRDefault="002666E0" w:rsidP="002666E0">
      <w:pPr>
        <w:pStyle w:val="NoSpacing"/>
        <w:jc w:val="both"/>
        <w:rPr>
          <w:rFonts w:cstheme="minorHAnsi"/>
          <w:i/>
          <w:iCs/>
          <w:color w:val="000000" w:themeColor="text1"/>
          <w:szCs w:val="24"/>
        </w:rPr>
      </w:pPr>
      <w:r w:rsidRPr="001F24AA">
        <w:rPr>
          <w:rFonts w:cstheme="minorHAnsi"/>
          <w:i/>
          <w:iCs/>
          <w:color w:val="000000" w:themeColor="text1"/>
          <w:szCs w:val="24"/>
        </w:rPr>
        <w:t>Director General</w:t>
      </w:r>
    </w:p>
    <w:p w:rsidR="002666E0" w:rsidRPr="001F24AA" w:rsidRDefault="002666E0" w:rsidP="002666E0">
      <w:pPr>
        <w:pStyle w:val="NoSpacing"/>
        <w:jc w:val="both"/>
        <w:rPr>
          <w:rFonts w:cstheme="minorHAnsi"/>
          <w:szCs w:val="24"/>
        </w:rPr>
      </w:pPr>
      <w:r w:rsidRPr="001F24AA">
        <w:rPr>
          <w:rFonts w:cstheme="minorHAnsi"/>
          <w:szCs w:val="24"/>
        </w:rPr>
        <w:t>General Directorate of Insurance Affairs</w:t>
      </w:r>
    </w:p>
    <w:p w:rsidR="00F67A18" w:rsidRPr="003357A5" w:rsidRDefault="00F67A18" w:rsidP="00194949">
      <w:pPr>
        <w:pStyle w:val="NoSpacing"/>
      </w:pPr>
    </w:p>
    <w:p w:rsidR="00F67A18" w:rsidRPr="003357A5" w:rsidRDefault="00F67A18" w:rsidP="007D3138">
      <w:pPr>
        <w:spacing w:line="360" w:lineRule="auto"/>
        <w:jc w:val="both"/>
        <w:rPr>
          <w:rFonts w:asciiTheme="majorBidi" w:hAnsiTheme="majorBidi" w:cstheme="majorBidi"/>
        </w:rPr>
      </w:pPr>
    </w:p>
    <w:p w:rsidR="00ED564A" w:rsidRDefault="00ED564A" w:rsidP="007D3138">
      <w:pPr>
        <w:spacing w:line="360" w:lineRule="auto"/>
        <w:jc w:val="both"/>
        <w:rPr>
          <w:rFonts w:asciiTheme="majorBidi" w:hAnsiTheme="majorBidi" w:cstheme="majorBidi"/>
        </w:rPr>
      </w:pPr>
    </w:p>
    <w:p w:rsidR="00ED564A" w:rsidRDefault="00ED564A" w:rsidP="007D3138">
      <w:pPr>
        <w:spacing w:line="360" w:lineRule="auto"/>
        <w:jc w:val="both"/>
        <w:rPr>
          <w:rFonts w:asciiTheme="majorBidi" w:hAnsiTheme="majorBidi" w:cstheme="majorBidi"/>
        </w:rPr>
      </w:pPr>
    </w:p>
    <w:p w:rsidR="009C633B" w:rsidRDefault="009C633B" w:rsidP="009C633B">
      <w:pPr>
        <w:pStyle w:val="Heading1"/>
      </w:pPr>
      <w:bookmarkStart w:id="2" w:name="_Toc43808695"/>
      <w:r>
        <w:lastRenderedPageBreak/>
        <w:t>Afghanistan – Demographics and Macroeconomic Indicators</w:t>
      </w:r>
      <w:bookmarkEnd w:id="2"/>
    </w:p>
    <w:p w:rsidR="009C633B" w:rsidRDefault="009C633B" w:rsidP="009C633B">
      <w:pPr>
        <w:pStyle w:val="NoSpacing"/>
      </w:pPr>
    </w:p>
    <w:p w:rsidR="009C633B" w:rsidRDefault="009C633B" w:rsidP="009C633B">
      <w:pPr>
        <w:pStyle w:val="NoSpacing"/>
      </w:pPr>
      <w:r>
        <w:t>Country</w:t>
      </w:r>
      <w:r>
        <w:tab/>
      </w:r>
      <w:r>
        <w:tab/>
      </w:r>
      <w:r>
        <w:tab/>
        <w:t xml:space="preserve">Afghanistan </w:t>
      </w:r>
    </w:p>
    <w:p w:rsidR="009C633B" w:rsidRDefault="009C633B" w:rsidP="009C633B">
      <w:pPr>
        <w:pStyle w:val="NoSpacing"/>
      </w:pPr>
      <w:r>
        <w:t>Capital</w:t>
      </w:r>
      <w:r>
        <w:tab/>
      </w:r>
      <w:r>
        <w:tab/>
      </w:r>
      <w:r>
        <w:tab/>
        <w:t>Kabul</w:t>
      </w:r>
    </w:p>
    <w:p w:rsidR="009C633B" w:rsidRDefault="009C633B" w:rsidP="009C633B">
      <w:pPr>
        <w:pStyle w:val="NoSpacing"/>
      </w:pPr>
      <w:r>
        <w:t>Population</w:t>
      </w:r>
      <w:r>
        <w:tab/>
      </w:r>
      <w:r>
        <w:tab/>
        <w:t>32,500,000</w:t>
      </w:r>
    </w:p>
    <w:p w:rsidR="009C633B" w:rsidRDefault="009C633B" w:rsidP="009C633B">
      <w:pPr>
        <w:pStyle w:val="NoSpacing"/>
      </w:pPr>
      <w:r>
        <w:t>Area</w:t>
      </w:r>
      <w:r>
        <w:tab/>
      </w:r>
      <w:r>
        <w:tab/>
      </w:r>
      <w:r>
        <w:tab/>
        <w:t xml:space="preserve">652,864 </w:t>
      </w:r>
      <w:r w:rsidR="00535883">
        <w:t xml:space="preserve">square kilometers </w:t>
      </w:r>
      <w:r>
        <w:t>(252,072 sq</w:t>
      </w:r>
      <w:r w:rsidR="00535883">
        <w:t>uare</w:t>
      </w:r>
      <w:r>
        <w:t xml:space="preserve"> mile</w:t>
      </w:r>
      <w:r w:rsidR="00535883">
        <w:t>s</w:t>
      </w:r>
      <w:r>
        <w:t>)</w:t>
      </w:r>
    </w:p>
    <w:p w:rsidR="009C633B" w:rsidRDefault="009C633B" w:rsidP="009C633B">
      <w:pPr>
        <w:pStyle w:val="NoSpacing"/>
      </w:pPr>
      <w:r>
        <w:t>Density</w:t>
      </w:r>
      <w:r>
        <w:tab/>
      </w:r>
      <w:r>
        <w:tab/>
      </w:r>
      <w:r>
        <w:tab/>
        <w:t>49.88</w:t>
      </w:r>
      <w:r w:rsidR="00535883">
        <w:t xml:space="preserve"> per square kilometer</w:t>
      </w:r>
    </w:p>
    <w:p w:rsidR="009C633B" w:rsidRDefault="009C633B" w:rsidP="009C633B">
      <w:pPr>
        <w:pStyle w:val="NoSpacing"/>
      </w:pPr>
      <w:r>
        <w:t>Currency</w:t>
      </w:r>
      <w:r>
        <w:tab/>
      </w:r>
      <w:r>
        <w:tab/>
        <w:t>Afghani   (</w:t>
      </w:r>
      <w:r w:rsidR="00535883">
        <w:t xml:space="preserve">USD </w:t>
      </w:r>
      <w:r>
        <w:t xml:space="preserve">1 is equal to </w:t>
      </w:r>
      <w:r w:rsidR="00535883">
        <w:t>AFG 75</w:t>
      </w:r>
      <w:r>
        <w:t>)</w:t>
      </w:r>
      <w:r w:rsidR="00535883">
        <w:t xml:space="preserve"> as of May 2020</w:t>
      </w:r>
    </w:p>
    <w:p w:rsidR="009C633B" w:rsidRDefault="009C633B" w:rsidP="009C633B">
      <w:pPr>
        <w:pStyle w:val="NoSpacing"/>
      </w:pPr>
      <w:r>
        <w:t>GDP per Capita</w:t>
      </w:r>
      <w:r>
        <w:tab/>
      </w:r>
      <w:r>
        <w:tab/>
      </w:r>
      <w:r w:rsidR="00535883">
        <w:t xml:space="preserve">USD </w:t>
      </w:r>
      <w:r>
        <w:t>572 (2018 data)</w:t>
      </w:r>
    </w:p>
    <w:p w:rsidR="009C633B" w:rsidRDefault="009C633B" w:rsidP="009C633B">
      <w:pPr>
        <w:pStyle w:val="NoSpacing"/>
      </w:pPr>
      <w:r>
        <w:t>Insurance penetration</w:t>
      </w:r>
      <w:r w:rsidR="00535883">
        <w:rPr>
          <w:rStyle w:val="FootnoteReference"/>
        </w:rPr>
        <w:footnoteReference w:id="1"/>
      </w:r>
      <w:r>
        <w:tab/>
        <w:t>0.001% (2018 data)</w:t>
      </w:r>
      <w:r>
        <w:tab/>
      </w:r>
      <w:r>
        <w:tab/>
      </w:r>
      <w:r>
        <w:tab/>
      </w:r>
    </w:p>
    <w:p w:rsidR="009C633B" w:rsidRDefault="009C633B" w:rsidP="009C633B">
      <w:pPr>
        <w:pStyle w:val="NoSpacing"/>
      </w:pPr>
      <w:r>
        <w:t>Export</w:t>
      </w:r>
      <w:r>
        <w:tab/>
      </w:r>
      <w:r>
        <w:tab/>
      </w:r>
      <w:r>
        <w:tab/>
        <w:t>USD 0.88 billion (2018)</w:t>
      </w:r>
    </w:p>
    <w:p w:rsidR="009C633B" w:rsidRDefault="009C633B" w:rsidP="009C633B">
      <w:pPr>
        <w:pStyle w:val="NoSpacing"/>
      </w:pPr>
      <w:r>
        <w:t>Import</w:t>
      </w:r>
      <w:r>
        <w:tab/>
      </w:r>
      <w:r>
        <w:tab/>
      </w:r>
      <w:r>
        <w:tab/>
        <w:t>USD 7.41 billion (2018)</w:t>
      </w:r>
    </w:p>
    <w:p w:rsidR="009C633B" w:rsidRDefault="009C633B" w:rsidP="009C633B">
      <w:pPr>
        <w:pStyle w:val="NoSpacing"/>
      </w:pPr>
      <w:r>
        <w:t>Balance of Trade</w:t>
      </w:r>
      <w:r>
        <w:tab/>
        <w:t>USD (5.13) billion (2018)</w:t>
      </w:r>
    </w:p>
    <w:p w:rsidR="009C633B" w:rsidRDefault="009C633B" w:rsidP="009C633B">
      <w:pPr>
        <w:pStyle w:val="NoSpacing"/>
      </w:pPr>
    </w:p>
    <w:p w:rsidR="00301D4E" w:rsidRDefault="00301D4E" w:rsidP="00301D4E">
      <w:pPr>
        <w:pStyle w:val="NoSpacing"/>
        <w:jc w:val="center"/>
      </w:pPr>
    </w:p>
    <w:p w:rsidR="009C633B" w:rsidRDefault="00301D4E" w:rsidP="00301D4E">
      <w:pPr>
        <w:pStyle w:val="Caption"/>
        <w:jc w:val="center"/>
      </w:pPr>
      <w:r>
        <w:t xml:space="preserve">Figure </w:t>
      </w:r>
      <w:r>
        <w:fldChar w:fldCharType="begin"/>
      </w:r>
      <w:r>
        <w:instrText xml:space="preserve"> SEQ Figure \* ARABIC </w:instrText>
      </w:r>
      <w:r>
        <w:fldChar w:fldCharType="separate"/>
      </w:r>
      <w:r w:rsidR="00D65C8E">
        <w:rPr>
          <w:noProof/>
        </w:rPr>
        <w:t>1</w:t>
      </w:r>
      <w:r>
        <w:fldChar w:fldCharType="end"/>
      </w:r>
      <w:r>
        <w:t>: Map of Afghanistan</w:t>
      </w:r>
    </w:p>
    <w:p w:rsidR="00301D4E" w:rsidRDefault="000B7FE4" w:rsidP="00D42087">
      <w:pPr>
        <w:pStyle w:val="NoSpacing"/>
      </w:pPr>
      <w:r>
        <w:rPr>
          <w:noProof/>
        </w:rPr>
        <w:drawing>
          <wp:anchor distT="0" distB="0" distL="114300" distR="114300" simplePos="0" relativeHeight="251645440" behindDoc="0" locked="0" layoutInCell="1" allowOverlap="1" wp14:anchorId="47BC1BC1" wp14:editId="74DFC241">
            <wp:simplePos x="0" y="0"/>
            <wp:positionH relativeFrom="column">
              <wp:posOffset>-38100</wp:posOffset>
            </wp:positionH>
            <wp:positionV relativeFrom="paragraph">
              <wp:posOffset>62865</wp:posOffset>
            </wp:positionV>
            <wp:extent cx="5943600" cy="3867150"/>
            <wp:effectExtent l="0" t="0" r="0" b="0"/>
            <wp:wrapNone/>
            <wp:docPr id="1" name="Picture 1" descr="C:\Users\Sayed Daud Fazli\AppData\Local\Microsoft\Windows\INetCache\Content.Word\71E6nNTtw9L._AC_SL148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yed Daud Fazli\AppData\Local\Microsoft\Windows\INetCache\Content.Word\71E6nNTtw9L._AC_SL1481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087" w:rsidRDefault="00D42087" w:rsidP="00D42087">
      <w:pPr>
        <w:pStyle w:val="NoSpacing"/>
      </w:pPr>
    </w:p>
    <w:p w:rsidR="00D42087" w:rsidRDefault="00D42087">
      <w:pPr>
        <w:spacing w:after="160" w:line="259" w:lineRule="auto"/>
        <w:rPr>
          <w:rFonts w:asciiTheme="majorHAnsi" w:eastAsiaTheme="majorEastAsia" w:hAnsiTheme="majorHAnsi" w:cstheme="majorBidi"/>
          <w:color w:val="365F91" w:themeColor="accent1" w:themeShade="BF"/>
          <w:sz w:val="32"/>
          <w:szCs w:val="32"/>
        </w:rPr>
      </w:pPr>
      <w:r>
        <w:br w:type="page"/>
      </w:r>
    </w:p>
    <w:p w:rsidR="00047ECD" w:rsidRPr="007A33FF" w:rsidRDefault="00AC57AF" w:rsidP="007A33FF">
      <w:pPr>
        <w:pStyle w:val="Heading1"/>
        <w:spacing w:line="259" w:lineRule="auto"/>
      </w:pPr>
      <w:bookmarkStart w:id="3" w:name="_Toc43808696"/>
      <w:r>
        <w:lastRenderedPageBreak/>
        <w:t>Section 1</w:t>
      </w:r>
      <w:r w:rsidR="00A90E99">
        <w:t xml:space="preserve">: </w:t>
      </w:r>
      <w:r>
        <w:t>About the General Directorate of Insurance Affairs (GDIA)</w:t>
      </w:r>
      <w:bookmarkEnd w:id="3"/>
    </w:p>
    <w:p w:rsidR="008E0F98" w:rsidRPr="003357A5" w:rsidRDefault="008E0F98" w:rsidP="007D3138">
      <w:pPr>
        <w:spacing w:line="360" w:lineRule="auto"/>
        <w:rPr>
          <w:rFonts w:asciiTheme="majorBidi" w:hAnsiTheme="majorBidi" w:cstheme="majorBidi"/>
        </w:rPr>
      </w:pPr>
    </w:p>
    <w:p w:rsidR="00047ECD" w:rsidRPr="007A33FF" w:rsidRDefault="00A90E99" w:rsidP="007A33FF">
      <w:pPr>
        <w:pStyle w:val="Heading2"/>
        <w:spacing w:line="259" w:lineRule="auto"/>
      </w:pPr>
      <w:bookmarkStart w:id="4" w:name="_Toc43808697"/>
      <w:r w:rsidRPr="007A33FF">
        <w:t>1.1</w:t>
      </w:r>
      <w:r w:rsidRPr="007A33FF">
        <w:tab/>
      </w:r>
      <w:r w:rsidR="008E0F98" w:rsidRPr="007A33FF">
        <w:t>Background</w:t>
      </w:r>
      <w:bookmarkEnd w:id="4"/>
    </w:p>
    <w:p w:rsidR="008E0F98" w:rsidRPr="00FE3786" w:rsidRDefault="008E0F98" w:rsidP="007D3138">
      <w:pPr>
        <w:spacing w:line="360" w:lineRule="auto"/>
        <w:rPr>
          <w:rFonts w:asciiTheme="majorBidi" w:hAnsiTheme="majorBidi" w:cstheme="majorBidi"/>
          <w:sz w:val="4"/>
          <w:szCs w:val="2"/>
        </w:rPr>
      </w:pPr>
    </w:p>
    <w:p w:rsidR="00A90E99" w:rsidRPr="00FE3786" w:rsidRDefault="00A90E99" w:rsidP="007A33FF">
      <w:pPr>
        <w:pStyle w:val="NoSpacing"/>
        <w:jc w:val="both"/>
        <w:rPr>
          <w:rFonts w:cstheme="minorHAnsi"/>
        </w:rPr>
      </w:pPr>
    </w:p>
    <w:p w:rsidR="007910D4" w:rsidRPr="00FE3786" w:rsidRDefault="00FC373C" w:rsidP="007A33FF">
      <w:pPr>
        <w:pStyle w:val="NoSpacing"/>
        <w:jc w:val="both"/>
        <w:rPr>
          <w:rFonts w:cstheme="minorHAnsi"/>
          <w:sz w:val="24"/>
        </w:rPr>
      </w:pPr>
      <w:r w:rsidRPr="00FE3786">
        <w:rPr>
          <w:rFonts w:cstheme="minorHAnsi"/>
          <w:sz w:val="24"/>
          <w:szCs w:val="24"/>
        </w:rPr>
        <w:t>The General Directorate of Insurance Affairs (GDIA), formerly the Afghanistan Insurance Authority (AIA)</w:t>
      </w:r>
      <w:r w:rsidR="007910D4" w:rsidRPr="00FE3786">
        <w:rPr>
          <w:rFonts w:cstheme="minorHAnsi"/>
          <w:sz w:val="24"/>
          <w:szCs w:val="24"/>
        </w:rPr>
        <w:t>,</w:t>
      </w:r>
      <w:r w:rsidRPr="00FE3786">
        <w:rPr>
          <w:rFonts w:cstheme="minorHAnsi"/>
          <w:sz w:val="24"/>
          <w:szCs w:val="24"/>
        </w:rPr>
        <w:t xml:space="preserve"> </w:t>
      </w:r>
      <w:r w:rsidR="007910D4" w:rsidRPr="00FE3786">
        <w:rPr>
          <w:rFonts w:cstheme="minorHAnsi"/>
          <w:sz w:val="24"/>
          <w:szCs w:val="24"/>
        </w:rPr>
        <w:t xml:space="preserve">was </w:t>
      </w:r>
      <w:r w:rsidRPr="00FE3786">
        <w:rPr>
          <w:rFonts w:cstheme="minorHAnsi"/>
          <w:sz w:val="24"/>
          <w:szCs w:val="24"/>
        </w:rPr>
        <w:t xml:space="preserve">established under the </w:t>
      </w:r>
      <w:r w:rsidR="007910D4" w:rsidRPr="00FE3786">
        <w:rPr>
          <w:rFonts w:cstheme="minorHAnsi"/>
          <w:sz w:val="24"/>
          <w:szCs w:val="24"/>
        </w:rPr>
        <w:t xml:space="preserve">aegis of the </w:t>
      </w:r>
      <w:r w:rsidRPr="00FE3786">
        <w:rPr>
          <w:rFonts w:cstheme="minorHAnsi"/>
          <w:sz w:val="24"/>
          <w:szCs w:val="24"/>
        </w:rPr>
        <w:t xml:space="preserve">Ministry of Finance </w:t>
      </w:r>
      <w:r w:rsidR="007910D4" w:rsidRPr="00FE3786">
        <w:rPr>
          <w:rFonts w:cstheme="minorHAnsi"/>
          <w:sz w:val="24"/>
          <w:szCs w:val="24"/>
        </w:rPr>
        <w:t xml:space="preserve">in </w:t>
      </w:r>
      <w:r w:rsidRPr="00FE3786">
        <w:rPr>
          <w:rFonts w:cstheme="minorHAnsi"/>
          <w:sz w:val="24"/>
          <w:szCs w:val="24"/>
        </w:rPr>
        <w:t>2005 for carrying out the licensing, market development activities, formulations of related laws and regulation, and for promoting the insurance activities in the country.</w:t>
      </w:r>
      <w:r w:rsidR="007910D4" w:rsidRPr="00FE3786">
        <w:rPr>
          <w:rFonts w:cstheme="minorHAnsi"/>
          <w:sz w:val="24"/>
          <w:szCs w:val="24"/>
        </w:rPr>
        <w:t xml:space="preserve">  </w:t>
      </w:r>
      <w:r w:rsidRPr="00FE3786">
        <w:rPr>
          <w:rFonts w:cstheme="minorHAnsi"/>
          <w:sz w:val="24"/>
          <w:szCs w:val="24"/>
        </w:rPr>
        <w:t xml:space="preserve">In 2017, the AIA was formally designated as the GDIA. </w:t>
      </w:r>
    </w:p>
    <w:p w:rsidR="00A90E99" w:rsidRPr="00FE3786" w:rsidRDefault="00A90E99" w:rsidP="007A33FF">
      <w:pPr>
        <w:pStyle w:val="NoSpacing"/>
        <w:jc w:val="both"/>
        <w:rPr>
          <w:rFonts w:cstheme="minorHAnsi"/>
          <w:sz w:val="24"/>
        </w:rPr>
      </w:pPr>
    </w:p>
    <w:p w:rsidR="00A90E99" w:rsidRPr="00535883" w:rsidRDefault="00FC373C" w:rsidP="00535883">
      <w:pPr>
        <w:pStyle w:val="NoSpacing"/>
        <w:jc w:val="both"/>
        <w:rPr>
          <w:rFonts w:cstheme="minorHAnsi"/>
          <w:sz w:val="24"/>
        </w:rPr>
      </w:pPr>
      <w:r w:rsidRPr="00FE3786">
        <w:rPr>
          <w:rFonts w:cstheme="minorHAnsi"/>
          <w:sz w:val="24"/>
          <w:szCs w:val="24"/>
        </w:rPr>
        <w:t>Since its inception, the GDIA has been actively carrying out its regulatory and supervisory activities, in terms of issuing licenses, organizational development, establishing insurance board, developing different laws and regulations, initiating public awareness programs, efforts in capacity building and reforms, preventing insurance illegalities and creating cooperative understandings with foreign counterparts.</w:t>
      </w:r>
    </w:p>
    <w:p w:rsidR="00301D4E" w:rsidRPr="00FE3786" w:rsidRDefault="00301D4E" w:rsidP="007A33FF">
      <w:pPr>
        <w:pStyle w:val="NoSpacing"/>
        <w:rPr>
          <w:rFonts w:cstheme="minorHAnsi"/>
          <w:b/>
          <w:bCs/>
          <w:sz w:val="24"/>
        </w:rPr>
      </w:pPr>
    </w:p>
    <w:p w:rsidR="00FC373C" w:rsidRPr="003357A5" w:rsidRDefault="00FC373C" w:rsidP="007A33FF">
      <w:pPr>
        <w:pStyle w:val="Heading3"/>
      </w:pPr>
      <w:bookmarkStart w:id="5" w:name="_Toc43808698"/>
      <w:r w:rsidRPr="003357A5">
        <w:t>GDIA’s Vision</w:t>
      </w:r>
      <w:bookmarkEnd w:id="5"/>
    </w:p>
    <w:p w:rsidR="00A90E99" w:rsidRPr="00FE3786" w:rsidRDefault="00A90E99" w:rsidP="007A33FF">
      <w:pPr>
        <w:pStyle w:val="NoSpacing"/>
        <w:jc w:val="both"/>
        <w:rPr>
          <w:sz w:val="24"/>
        </w:rPr>
      </w:pPr>
    </w:p>
    <w:p w:rsidR="00FC373C" w:rsidRPr="00FE3786" w:rsidRDefault="00FC373C" w:rsidP="007A33FF">
      <w:pPr>
        <w:pStyle w:val="NoSpacing"/>
        <w:jc w:val="both"/>
        <w:rPr>
          <w:sz w:val="24"/>
        </w:rPr>
      </w:pPr>
      <w:r w:rsidRPr="00FE3786">
        <w:rPr>
          <w:sz w:val="24"/>
        </w:rPr>
        <w:t>To create a stable, developed, strong and financially independent economy in the country through a well-developed insurance sector.</w:t>
      </w:r>
    </w:p>
    <w:p w:rsidR="00A90E99" w:rsidRPr="00FE3786" w:rsidRDefault="00A90E99" w:rsidP="007A33FF">
      <w:pPr>
        <w:pStyle w:val="NoSpacing"/>
        <w:rPr>
          <w:sz w:val="24"/>
        </w:rPr>
      </w:pPr>
    </w:p>
    <w:p w:rsidR="00FC373C" w:rsidRPr="003357A5" w:rsidRDefault="00FC373C" w:rsidP="007A33FF">
      <w:pPr>
        <w:pStyle w:val="Heading3"/>
      </w:pPr>
      <w:bookmarkStart w:id="6" w:name="_Toc43808699"/>
      <w:r w:rsidRPr="003357A5">
        <w:t>GDIA’s Mission</w:t>
      </w:r>
      <w:bookmarkEnd w:id="6"/>
    </w:p>
    <w:p w:rsidR="00A90E99" w:rsidRPr="00FE3786" w:rsidRDefault="00A90E99" w:rsidP="007A33FF">
      <w:pPr>
        <w:pStyle w:val="NoSpacing"/>
        <w:jc w:val="both"/>
        <w:rPr>
          <w:sz w:val="24"/>
        </w:rPr>
      </w:pPr>
    </w:p>
    <w:p w:rsidR="00FC373C" w:rsidRPr="00FE3786" w:rsidRDefault="00FC373C" w:rsidP="007A33FF">
      <w:pPr>
        <w:pStyle w:val="NoSpacing"/>
        <w:jc w:val="both"/>
        <w:rPr>
          <w:sz w:val="24"/>
        </w:rPr>
      </w:pPr>
      <w:r w:rsidRPr="00FE3786">
        <w:rPr>
          <w:sz w:val="24"/>
        </w:rPr>
        <w:t>GDIA is committed to achieve, a secure economic and social live and inner peace for all, with a developed, quality and appropriate insurance industry, an aware citizens regarding insurance service and its significance, a rich insurance sector from foreign and domestic private investment and an accessible and simple insurance system, which address the insurance-based demands.</w:t>
      </w:r>
    </w:p>
    <w:p w:rsidR="007910D4" w:rsidRPr="00FE3786" w:rsidRDefault="007910D4" w:rsidP="007A33FF">
      <w:pPr>
        <w:pStyle w:val="NoSpacing"/>
        <w:jc w:val="both"/>
        <w:rPr>
          <w:rFonts w:cstheme="minorHAnsi"/>
          <w:sz w:val="24"/>
        </w:rPr>
      </w:pPr>
    </w:p>
    <w:p w:rsidR="00A90E99" w:rsidRPr="00FE3786" w:rsidRDefault="00A90E99" w:rsidP="007A33FF">
      <w:pPr>
        <w:pStyle w:val="NoSpacing"/>
        <w:jc w:val="both"/>
        <w:rPr>
          <w:rFonts w:cstheme="minorHAnsi"/>
          <w:sz w:val="24"/>
        </w:rPr>
      </w:pPr>
    </w:p>
    <w:p w:rsidR="00047ECD" w:rsidRPr="007A33FF" w:rsidRDefault="007910D4" w:rsidP="007A33FF">
      <w:pPr>
        <w:pStyle w:val="Heading2"/>
        <w:spacing w:line="259" w:lineRule="auto"/>
      </w:pPr>
      <w:bookmarkStart w:id="7" w:name="_Toc43808700"/>
      <w:r w:rsidRPr="007A33FF">
        <w:t>1.2</w:t>
      </w:r>
      <w:r w:rsidRPr="007A33FF">
        <w:tab/>
      </w:r>
      <w:r w:rsidR="00FC373C" w:rsidRPr="007A33FF">
        <w:t>GDIA</w:t>
      </w:r>
      <w:r w:rsidR="00FA59D5">
        <w:t>’s role</w:t>
      </w:r>
      <w:r w:rsidR="00FC373C" w:rsidRPr="007A33FF">
        <w:t xml:space="preserve"> as </w:t>
      </w:r>
      <w:r w:rsidR="00F67A18" w:rsidRPr="007A33FF">
        <w:t xml:space="preserve">the Insurance </w:t>
      </w:r>
      <w:r w:rsidR="00FC373C" w:rsidRPr="007A33FF">
        <w:t>Regulator</w:t>
      </w:r>
      <w:bookmarkEnd w:id="7"/>
    </w:p>
    <w:p w:rsidR="007910D4" w:rsidRPr="00FE3786" w:rsidRDefault="007910D4" w:rsidP="007A33FF">
      <w:pPr>
        <w:pStyle w:val="NoSpacing"/>
        <w:jc w:val="both"/>
        <w:rPr>
          <w:rFonts w:cstheme="minorHAnsi"/>
          <w:sz w:val="24"/>
        </w:rPr>
      </w:pPr>
    </w:p>
    <w:p w:rsidR="00FC373C" w:rsidRPr="00FE3786" w:rsidRDefault="00FC373C" w:rsidP="007A33FF">
      <w:pPr>
        <w:pStyle w:val="NoSpacing"/>
        <w:jc w:val="both"/>
        <w:rPr>
          <w:rFonts w:cstheme="minorHAnsi"/>
          <w:sz w:val="24"/>
        </w:rPr>
      </w:pPr>
      <w:r w:rsidRPr="00FE3786">
        <w:rPr>
          <w:rFonts w:cstheme="minorHAnsi"/>
          <w:sz w:val="24"/>
        </w:rPr>
        <w:t>The G</w:t>
      </w:r>
      <w:r w:rsidR="00535883">
        <w:rPr>
          <w:rFonts w:cstheme="minorHAnsi"/>
          <w:sz w:val="24"/>
        </w:rPr>
        <w:t xml:space="preserve">DIA, </w:t>
      </w:r>
      <w:r w:rsidRPr="00FE3786">
        <w:rPr>
          <w:rFonts w:cstheme="minorHAnsi"/>
          <w:sz w:val="24"/>
        </w:rPr>
        <w:t>as a regulating body under the umbrella of Ministry of Finance</w:t>
      </w:r>
      <w:r w:rsidR="00535883">
        <w:rPr>
          <w:rFonts w:cstheme="minorHAnsi"/>
          <w:sz w:val="24"/>
        </w:rPr>
        <w:t>,</w:t>
      </w:r>
      <w:r w:rsidRPr="00FE3786">
        <w:rPr>
          <w:rFonts w:cstheme="minorHAnsi"/>
          <w:sz w:val="24"/>
        </w:rPr>
        <w:t xml:space="preserve"> is the only government institution assigned to regulate, supervise and develop the insurance sector in Afghanistan.  It aims at facilitating the public and private entrepreneurship to invest in insurance sector, improve customer awareness and protection, enhancing stability and market effectiveness through regulation </w:t>
      </w:r>
      <w:r w:rsidR="00FA59D5">
        <w:rPr>
          <w:rFonts w:cstheme="minorHAnsi"/>
          <w:sz w:val="24"/>
        </w:rPr>
        <w:t xml:space="preserve">and </w:t>
      </w:r>
      <w:r w:rsidRPr="00FE3786">
        <w:rPr>
          <w:rFonts w:cstheme="minorHAnsi"/>
          <w:sz w:val="24"/>
        </w:rPr>
        <w:t>supervision</w:t>
      </w:r>
      <w:r w:rsidR="00FA59D5">
        <w:rPr>
          <w:rFonts w:cstheme="minorHAnsi"/>
          <w:sz w:val="24"/>
        </w:rPr>
        <w:t>,</w:t>
      </w:r>
      <w:r w:rsidRPr="00FE3786">
        <w:rPr>
          <w:rFonts w:cstheme="minorHAnsi"/>
          <w:sz w:val="24"/>
        </w:rPr>
        <w:t xml:space="preserve"> and development of required rules and laws. </w:t>
      </w:r>
    </w:p>
    <w:p w:rsidR="007910D4" w:rsidRDefault="007910D4" w:rsidP="007A33FF">
      <w:pPr>
        <w:pStyle w:val="NoSpacing"/>
        <w:jc w:val="both"/>
        <w:rPr>
          <w:rFonts w:cstheme="minorHAnsi"/>
          <w:b/>
          <w:bCs/>
          <w:sz w:val="24"/>
        </w:rPr>
      </w:pPr>
    </w:p>
    <w:p w:rsidR="00FA59D5" w:rsidRDefault="00FA59D5" w:rsidP="007A33FF">
      <w:pPr>
        <w:pStyle w:val="NoSpacing"/>
        <w:jc w:val="both"/>
        <w:rPr>
          <w:rFonts w:cstheme="minorHAnsi"/>
          <w:b/>
          <w:bCs/>
          <w:sz w:val="24"/>
        </w:rPr>
      </w:pPr>
    </w:p>
    <w:p w:rsidR="001F24AA" w:rsidRDefault="001F24AA">
      <w:pPr>
        <w:spacing w:after="160" w:line="259" w:lineRule="auto"/>
        <w:rPr>
          <w:rFonts w:asciiTheme="majorHAnsi" w:eastAsiaTheme="majorEastAsia" w:hAnsiTheme="majorHAnsi" w:cstheme="majorBidi"/>
          <w:color w:val="365F91" w:themeColor="accent1" w:themeShade="BF"/>
          <w:sz w:val="26"/>
          <w:szCs w:val="26"/>
        </w:rPr>
      </w:pPr>
      <w:r>
        <w:br w:type="page"/>
      </w:r>
    </w:p>
    <w:p w:rsidR="0069257A" w:rsidRDefault="0069257A" w:rsidP="0069257A">
      <w:pPr>
        <w:pStyle w:val="Heading2"/>
      </w:pPr>
      <w:bookmarkStart w:id="8" w:name="_Toc43808701"/>
      <w:r>
        <w:lastRenderedPageBreak/>
        <w:t>1.3</w:t>
      </w:r>
      <w:r>
        <w:tab/>
      </w:r>
      <w:r w:rsidR="00FA59D5">
        <w:t xml:space="preserve">Insurance Industry’s and GDIA’s </w:t>
      </w:r>
      <w:r>
        <w:t>Milestones</w:t>
      </w:r>
      <w:bookmarkEnd w:id="8"/>
    </w:p>
    <w:p w:rsidR="0069257A" w:rsidRPr="0069257A" w:rsidRDefault="0069257A" w:rsidP="0069257A">
      <w:pPr>
        <w:pStyle w:val="NoSpacing"/>
        <w:jc w:val="both"/>
        <w:rPr>
          <w:sz w:val="24"/>
        </w:rPr>
      </w:pPr>
    </w:p>
    <w:p w:rsidR="0069257A" w:rsidRPr="0069257A" w:rsidRDefault="0069257A" w:rsidP="000B7FE4">
      <w:pPr>
        <w:pStyle w:val="NoSpacing"/>
        <w:numPr>
          <w:ilvl w:val="0"/>
          <w:numId w:val="10"/>
        </w:numPr>
        <w:jc w:val="both"/>
        <w:rPr>
          <w:sz w:val="24"/>
        </w:rPr>
      </w:pPr>
      <w:r w:rsidRPr="0069257A">
        <w:rPr>
          <w:sz w:val="24"/>
        </w:rPr>
        <w:t>19</w:t>
      </w:r>
      <w:r w:rsidR="000B7FE4">
        <w:rPr>
          <w:sz w:val="24"/>
        </w:rPr>
        <w:t>64</w:t>
      </w:r>
      <w:r w:rsidR="00FA59D5">
        <w:rPr>
          <w:sz w:val="24"/>
        </w:rPr>
        <w:t>: F</w:t>
      </w:r>
      <w:r w:rsidRPr="0069257A">
        <w:rPr>
          <w:sz w:val="24"/>
        </w:rPr>
        <w:t xml:space="preserve">irst </w:t>
      </w:r>
      <w:r w:rsidR="00FA59D5">
        <w:rPr>
          <w:sz w:val="24"/>
        </w:rPr>
        <w:t xml:space="preserve">insurance </w:t>
      </w:r>
      <w:r w:rsidRPr="0069257A">
        <w:rPr>
          <w:sz w:val="24"/>
        </w:rPr>
        <w:t xml:space="preserve">company established in </w:t>
      </w:r>
      <w:r w:rsidR="00FA59D5">
        <w:rPr>
          <w:sz w:val="24"/>
        </w:rPr>
        <w:t xml:space="preserve">Afghanistan, namely the </w:t>
      </w:r>
      <w:r w:rsidRPr="0069257A">
        <w:rPr>
          <w:sz w:val="24"/>
        </w:rPr>
        <w:t>Afghan Insurance Corporation (</w:t>
      </w:r>
      <w:r w:rsidR="00FA59D5">
        <w:rPr>
          <w:sz w:val="24"/>
        </w:rPr>
        <w:t>AIC);</w:t>
      </w:r>
    </w:p>
    <w:p w:rsidR="0069257A" w:rsidRPr="0069257A" w:rsidRDefault="00FA59D5" w:rsidP="0069257A">
      <w:pPr>
        <w:pStyle w:val="NoSpacing"/>
        <w:numPr>
          <w:ilvl w:val="0"/>
          <w:numId w:val="10"/>
        </w:numPr>
        <w:jc w:val="both"/>
        <w:rPr>
          <w:sz w:val="24"/>
        </w:rPr>
      </w:pPr>
      <w:r>
        <w:rPr>
          <w:sz w:val="24"/>
        </w:rPr>
        <w:t xml:space="preserve">2001: </w:t>
      </w:r>
      <w:r w:rsidR="0069257A" w:rsidRPr="0069257A">
        <w:rPr>
          <w:sz w:val="24"/>
        </w:rPr>
        <w:t xml:space="preserve">Due to domestic conflicts, the </w:t>
      </w:r>
      <w:r>
        <w:rPr>
          <w:sz w:val="24"/>
        </w:rPr>
        <w:t xml:space="preserve">insurance </w:t>
      </w:r>
      <w:r w:rsidR="0069257A" w:rsidRPr="0069257A">
        <w:rPr>
          <w:sz w:val="24"/>
        </w:rPr>
        <w:t xml:space="preserve">industry did not have any operation until the end of 2001 and </w:t>
      </w:r>
      <w:r>
        <w:rPr>
          <w:sz w:val="24"/>
        </w:rPr>
        <w:t>the conclusion of Taliban regime;</w:t>
      </w:r>
    </w:p>
    <w:p w:rsidR="0069257A" w:rsidRPr="0069257A" w:rsidRDefault="0069257A" w:rsidP="0069257A">
      <w:pPr>
        <w:pStyle w:val="NoSpacing"/>
        <w:numPr>
          <w:ilvl w:val="0"/>
          <w:numId w:val="10"/>
        </w:numPr>
        <w:jc w:val="both"/>
        <w:rPr>
          <w:sz w:val="24"/>
        </w:rPr>
      </w:pPr>
      <w:r w:rsidRPr="0069257A">
        <w:rPr>
          <w:sz w:val="24"/>
        </w:rPr>
        <w:t>2007</w:t>
      </w:r>
      <w:r w:rsidR="00FA59D5">
        <w:rPr>
          <w:sz w:val="24"/>
        </w:rPr>
        <w:t>:</w:t>
      </w:r>
      <w:r w:rsidRPr="0069257A">
        <w:rPr>
          <w:sz w:val="24"/>
        </w:rPr>
        <w:t xml:space="preserve"> Private investment </w:t>
      </w:r>
      <w:r w:rsidR="00FA59D5">
        <w:rPr>
          <w:sz w:val="24"/>
        </w:rPr>
        <w:t xml:space="preserve">started in the </w:t>
      </w:r>
      <w:r w:rsidRPr="0069257A">
        <w:rPr>
          <w:sz w:val="24"/>
        </w:rPr>
        <w:t xml:space="preserve">country with </w:t>
      </w:r>
      <w:r w:rsidR="00FA59D5">
        <w:rPr>
          <w:sz w:val="24"/>
        </w:rPr>
        <w:t xml:space="preserve">the </w:t>
      </w:r>
      <w:r w:rsidRPr="0069257A">
        <w:rPr>
          <w:sz w:val="24"/>
        </w:rPr>
        <w:t>establishment of Afghanis</w:t>
      </w:r>
      <w:r w:rsidR="00FA59D5">
        <w:rPr>
          <w:sz w:val="24"/>
        </w:rPr>
        <w:t>tan Insurance Corporation (ICA);</w:t>
      </w:r>
    </w:p>
    <w:p w:rsidR="0069257A" w:rsidRPr="0069257A" w:rsidRDefault="0069257A" w:rsidP="0069257A">
      <w:pPr>
        <w:pStyle w:val="NoSpacing"/>
        <w:numPr>
          <w:ilvl w:val="0"/>
          <w:numId w:val="10"/>
        </w:numPr>
        <w:jc w:val="both"/>
        <w:rPr>
          <w:sz w:val="24"/>
        </w:rPr>
      </w:pPr>
      <w:r w:rsidRPr="0069257A">
        <w:rPr>
          <w:sz w:val="24"/>
        </w:rPr>
        <w:t>2008</w:t>
      </w:r>
      <w:r w:rsidR="00FA59D5">
        <w:rPr>
          <w:sz w:val="24"/>
        </w:rPr>
        <w:t>:</w:t>
      </w:r>
      <w:r w:rsidRPr="0069257A">
        <w:rPr>
          <w:sz w:val="24"/>
        </w:rPr>
        <w:t xml:space="preserve"> </w:t>
      </w:r>
      <w:r w:rsidR="00FA59D5">
        <w:rPr>
          <w:sz w:val="24"/>
        </w:rPr>
        <w:t>A</w:t>
      </w:r>
      <w:r w:rsidRPr="0069257A">
        <w:rPr>
          <w:sz w:val="24"/>
        </w:rPr>
        <w:t>s per th</w:t>
      </w:r>
      <w:r w:rsidR="00FA59D5">
        <w:rPr>
          <w:sz w:val="24"/>
        </w:rPr>
        <w:t>e direction of the Ministerial C</w:t>
      </w:r>
      <w:r w:rsidRPr="0069257A">
        <w:rPr>
          <w:sz w:val="24"/>
        </w:rPr>
        <w:t xml:space="preserve">ouncil, </w:t>
      </w:r>
      <w:r w:rsidR="00FA59D5">
        <w:rPr>
          <w:sz w:val="24"/>
        </w:rPr>
        <w:t xml:space="preserve">the </w:t>
      </w:r>
      <w:r w:rsidRPr="0069257A">
        <w:rPr>
          <w:sz w:val="24"/>
        </w:rPr>
        <w:t xml:space="preserve">Afghanistan Insurance Authority (AIA) </w:t>
      </w:r>
      <w:r w:rsidR="00FA59D5">
        <w:rPr>
          <w:sz w:val="24"/>
        </w:rPr>
        <w:t xml:space="preserve">was </w:t>
      </w:r>
      <w:r w:rsidRPr="0069257A">
        <w:rPr>
          <w:sz w:val="24"/>
        </w:rPr>
        <w:t>established under the umbrella of the Ministry of Finance.</w:t>
      </w:r>
    </w:p>
    <w:p w:rsidR="0069257A" w:rsidRPr="0069257A" w:rsidRDefault="00FA59D5" w:rsidP="0069257A">
      <w:pPr>
        <w:pStyle w:val="NoSpacing"/>
        <w:numPr>
          <w:ilvl w:val="0"/>
          <w:numId w:val="10"/>
        </w:numPr>
        <w:jc w:val="both"/>
        <w:rPr>
          <w:sz w:val="24"/>
        </w:rPr>
      </w:pPr>
      <w:r>
        <w:rPr>
          <w:sz w:val="24"/>
        </w:rPr>
        <w:t>2017: A</w:t>
      </w:r>
      <w:r w:rsidR="0069257A" w:rsidRPr="0069257A">
        <w:rPr>
          <w:sz w:val="24"/>
        </w:rPr>
        <w:t xml:space="preserve">s per the order of H.E the </w:t>
      </w:r>
      <w:r>
        <w:rPr>
          <w:sz w:val="24"/>
        </w:rPr>
        <w:t>P</w:t>
      </w:r>
      <w:r w:rsidR="0069257A" w:rsidRPr="0069257A">
        <w:rPr>
          <w:sz w:val="24"/>
        </w:rPr>
        <w:t>resident</w:t>
      </w:r>
      <w:r>
        <w:rPr>
          <w:sz w:val="24"/>
        </w:rPr>
        <w:t xml:space="preserve"> of the Islamic Republic of Afghanistan</w:t>
      </w:r>
      <w:r w:rsidR="0069257A" w:rsidRPr="0069257A">
        <w:rPr>
          <w:sz w:val="24"/>
        </w:rPr>
        <w:t xml:space="preserve">, the AIA </w:t>
      </w:r>
      <w:r>
        <w:rPr>
          <w:sz w:val="24"/>
        </w:rPr>
        <w:t xml:space="preserve">was </w:t>
      </w:r>
      <w:r w:rsidR="0069257A" w:rsidRPr="0069257A">
        <w:rPr>
          <w:sz w:val="24"/>
        </w:rPr>
        <w:t>upgraded to</w:t>
      </w:r>
      <w:r>
        <w:rPr>
          <w:sz w:val="24"/>
        </w:rPr>
        <w:t xml:space="preserve"> become t</w:t>
      </w:r>
      <w:r w:rsidR="0069257A" w:rsidRPr="0069257A">
        <w:rPr>
          <w:sz w:val="24"/>
        </w:rPr>
        <w:t>he General Directorate of Insurance Affairs (GDIA)</w:t>
      </w:r>
      <w:r>
        <w:rPr>
          <w:sz w:val="24"/>
        </w:rPr>
        <w:t>,</w:t>
      </w:r>
      <w:r w:rsidR="0069257A" w:rsidRPr="0069257A">
        <w:rPr>
          <w:sz w:val="24"/>
        </w:rPr>
        <w:t xml:space="preserve"> as </w:t>
      </w:r>
      <w:r>
        <w:rPr>
          <w:sz w:val="24"/>
        </w:rPr>
        <w:t xml:space="preserve">the </w:t>
      </w:r>
      <w:r w:rsidR="0069257A" w:rsidRPr="0069257A">
        <w:rPr>
          <w:sz w:val="24"/>
        </w:rPr>
        <w:t xml:space="preserve">first grade under </w:t>
      </w:r>
      <w:r>
        <w:rPr>
          <w:sz w:val="24"/>
        </w:rPr>
        <w:t xml:space="preserve">the </w:t>
      </w:r>
      <w:r w:rsidR="0069257A" w:rsidRPr="0069257A">
        <w:rPr>
          <w:sz w:val="24"/>
        </w:rPr>
        <w:t>D</w:t>
      </w:r>
      <w:r>
        <w:rPr>
          <w:sz w:val="24"/>
        </w:rPr>
        <w:t xml:space="preserve">eputy </w:t>
      </w:r>
      <w:r w:rsidR="0069257A" w:rsidRPr="0069257A">
        <w:rPr>
          <w:sz w:val="24"/>
        </w:rPr>
        <w:t>M</w:t>
      </w:r>
      <w:r>
        <w:rPr>
          <w:sz w:val="24"/>
        </w:rPr>
        <w:t>inister</w:t>
      </w:r>
      <w:r w:rsidR="0069257A" w:rsidRPr="0069257A">
        <w:rPr>
          <w:sz w:val="24"/>
        </w:rPr>
        <w:t xml:space="preserve"> for </w:t>
      </w:r>
      <w:r>
        <w:rPr>
          <w:sz w:val="24"/>
        </w:rPr>
        <w:t>A</w:t>
      </w:r>
      <w:r w:rsidR="0069257A" w:rsidRPr="0069257A">
        <w:rPr>
          <w:sz w:val="24"/>
        </w:rPr>
        <w:t>dmini</w:t>
      </w:r>
      <w:r>
        <w:rPr>
          <w:sz w:val="24"/>
        </w:rPr>
        <w:t>stration of Ministry of Finance;</w:t>
      </w:r>
    </w:p>
    <w:p w:rsidR="0069257A" w:rsidRPr="0069257A" w:rsidRDefault="0069257A" w:rsidP="0069257A">
      <w:pPr>
        <w:pStyle w:val="NoSpacing"/>
        <w:numPr>
          <w:ilvl w:val="0"/>
          <w:numId w:val="10"/>
        </w:numPr>
        <w:jc w:val="both"/>
        <w:rPr>
          <w:sz w:val="24"/>
        </w:rPr>
      </w:pPr>
      <w:r w:rsidRPr="0069257A">
        <w:rPr>
          <w:sz w:val="24"/>
        </w:rPr>
        <w:t>2018</w:t>
      </w:r>
      <w:r w:rsidR="00FA59D5">
        <w:rPr>
          <w:sz w:val="24"/>
        </w:rPr>
        <w:t>:</w:t>
      </w:r>
      <w:r w:rsidRPr="0069257A">
        <w:rPr>
          <w:sz w:val="24"/>
        </w:rPr>
        <w:t xml:space="preserve"> </w:t>
      </w:r>
      <w:r w:rsidR="00FA59D5">
        <w:rPr>
          <w:sz w:val="24"/>
        </w:rPr>
        <w:t>T</w:t>
      </w:r>
      <w:r w:rsidRPr="0069257A">
        <w:rPr>
          <w:sz w:val="24"/>
        </w:rPr>
        <w:t xml:space="preserve">he </w:t>
      </w:r>
      <w:r w:rsidR="00FA59D5">
        <w:rPr>
          <w:sz w:val="24"/>
        </w:rPr>
        <w:t xml:space="preserve">amendment process in the </w:t>
      </w:r>
      <w:r w:rsidRPr="0069257A">
        <w:rPr>
          <w:sz w:val="24"/>
        </w:rPr>
        <w:t xml:space="preserve">existing insurance law </w:t>
      </w:r>
      <w:r w:rsidR="00FA59D5">
        <w:rPr>
          <w:sz w:val="24"/>
        </w:rPr>
        <w:t xml:space="preserve">started, while </w:t>
      </w:r>
      <w:r w:rsidRPr="0069257A">
        <w:rPr>
          <w:sz w:val="24"/>
        </w:rPr>
        <w:t>taking into account the Insurance Core Principles (ICPs)</w:t>
      </w:r>
      <w:r w:rsidR="00FA59D5">
        <w:rPr>
          <w:sz w:val="24"/>
        </w:rPr>
        <w:t xml:space="preserve"> of the International Association of Insurance Supervisors;</w:t>
      </w:r>
    </w:p>
    <w:p w:rsidR="0069257A" w:rsidRPr="0069257A" w:rsidRDefault="00FA59D5" w:rsidP="0069257A">
      <w:pPr>
        <w:pStyle w:val="NoSpacing"/>
        <w:numPr>
          <w:ilvl w:val="0"/>
          <w:numId w:val="10"/>
        </w:numPr>
        <w:jc w:val="both"/>
        <w:rPr>
          <w:sz w:val="24"/>
        </w:rPr>
      </w:pPr>
      <w:r>
        <w:rPr>
          <w:sz w:val="24"/>
        </w:rPr>
        <w:t xml:space="preserve">2019: The development of </w:t>
      </w:r>
      <w:r w:rsidR="0069257A" w:rsidRPr="0069257A">
        <w:rPr>
          <w:sz w:val="24"/>
        </w:rPr>
        <w:t xml:space="preserve">Takaful (Islamic Insurance) legal and regulatory framework </w:t>
      </w:r>
      <w:r>
        <w:rPr>
          <w:sz w:val="24"/>
        </w:rPr>
        <w:t xml:space="preserve">was started, which has now been </w:t>
      </w:r>
      <w:r w:rsidR="0069257A" w:rsidRPr="0069257A">
        <w:rPr>
          <w:sz w:val="24"/>
        </w:rPr>
        <w:t xml:space="preserve">submitted along with the amended insurance law to </w:t>
      </w:r>
      <w:r>
        <w:rPr>
          <w:sz w:val="24"/>
        </w:rPr>
        <w:t xml:space="preserve">the </w:t>
      </w:r>
      <w:r w:rsidR="0069257A" w:rsidRPr="0069257A">
        <w:rPr>
          <w:sz w:val="24"/>
        </w:rPr>
        <w:t>Ministry of Justice.</w:t>
      </w:r>
    </w:p>
    <w:p w:rsidR="00AC57AF" w:rsidRDefault="00AC57AF" w:rsidP="007A33FF">
      <w:pPr>
        <w:pStyle w:val="NoSpacing"/>
        <w:jc w:val="both"/>
        <w:rPr>
          <w:rFonts w:cstheme="minorHAnsi"/>
          <w:b/>
          <w:bCs/>
        </w:rPr>
      </w:pPr>
    </w:p>
    <w:p w:rsidR="003271C3" w:rsidRDefault="003271C3" w:rsidP="007A33FF">
      <w:pPr>
        <w:pStyle w:val="NoSpacing"/>
        <w:jc w:val="both"/>
        <w:rPr>
          <w:rFonts w:cstheme="minorHAnsi"/>
          <w:b/>
          <w:bCs/>
        </w:rPr>
      </w:pPr>
    </w:p>
    <w:p w:rsidR="003271C3" w:rsidRDefault="003271C3" w:rsidP="003271C3">
      <w:pPr>
        <w:pStyle w:val="NoSpacing"/>
        <w:jc w:val="center"/>
        <w:rPr>
          <w:rFonts w:cstheme="minorHAnsi"/>
          <w:b/>
          <w:bCs/>
        </w:rPr>
      </w:pPr>
      <w:r>
        <w:rPr>
          <w:rFonts w:cstheme="minorHAnsi"/>
          <w:b/>
          <w:bCs/>
          <w:noProof/>
        </w:rPr>
        <w:drawing>
          <wp:inline distT="0" distB="0" distL="0" distR="0" wp14:anchorId="26BB9766" wp14:editId="1930174D">
            <wp:extent cx="2887980" cy="242188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 Traingle.png"/>
                    <pic:cNvPicPr/>
                  </pic:nvPicPr>
                  <pic:blipFill>
                    <a:blip r:embed="rId12">
                      <a:extLst>
                        <a:ext uri="{28A0092B-C50C-407E-A947-70E740481C1C}">
                          <a14:useLocalDpi xmlns:a14="http://schemas.microsoft.com/office/drawing/2010/main" val="0"/>
                        </a:ext>
                      </a:extLst>
                    </a:blip>
                    <a:stretch>
                      <a:fillRect/>
                    </a:stretch>
                  </pic:blipFill>
                  <pic:spPr>
                    <a:xfrm>
                      <a:off x="0" y="0"/>
                      <a:ext cx="2888231" cy="2422092"/>
                    </a:xfrm>
                    <a:prstGeom prst="rect">
                      <a:avLst/>
                    </a:prstGeom>
                  </pic:spPr>
                </pic:pic>
              </a:graphicData>
            </a:graphic>
          </wp:inline>
        </w:drawing>
      </w:r>
    </w:p>
    <w:p w:rsidR="000B7FE4" w:rsidRDefault="000B7FE4" w:rsidP="003271C3">
      <w:pPr>
        <w:pStyle w:val="Caption"/>
        <w:jc w:val="center"/>
      </w:pPr>
    </w:p>
    <w:p w:rsidR="003271C3" w:rsidRDefault="003271C3" w:rsidP="003271C3">
      <w:pPr>
        <w:pStyle w:val="Caption"/>
        <w:jc w:val="center"/>
        <w:rPr>
          <w:rFonts w:cstheme="minorHAnsi"/>
          <w:b w:val="0"/>
          <w:bCs w:val="0"/>
        </w:rPr>
      </w:pPr>
      <w:r>
        <w:t xml:space="preserve">Figure </w:t>
      </w:r>
      <w:r>
        <w:fldChar w:fldCharType="begin"/>
      </w:r>
      <w:r>
        <w:instrText xml:space="preserve"> SEQ Figure \* ARABIC </w:instrText>
      </w:r>
      <w:r>
        <w:fldChar w:fldCharType="separate"/>
      </w:r>
      <w:r w:rsidR="00D65C8E">
        <w:rPr>
          <w:noProof/>
        </w:rPr>
        <w:t>2</w:t>
      </w:r>
      <w:r>
        <w:fldChar w:fldCharType="end"/>
      </w:r>
      <w:r>
        <w:t>: Hierarchy of insurance regulatory and industry entities</w:t>
      </w:r>
    </w:p>
    <w:p w:rsidR="005A3ACB" w:rsidRPr="007A33FF" w:rsidRDefault="005A3ACB" w:rsidP="007A33FF">
      <w:pPr>
        <w:pStyle w:val="NoSpacing"/>
        <w:jc w:val="both"/>
        <w:rPr>
          <w:rFonts w:cstheme="minorHAnsi"/>
          <w:b/>
          <w:bCs/>
        </w:rPr>
      </w:pPr>
    </w:p>
    <w:p w:rsidR="00361724" w:rsidRDefault="00FA59D5" w:rsidP="00FA59D5">
      <w:pPr>
        <w:pStyle w:val="Heading2"/>
      </w:pPr>
      <w:bookmarkStart w:id="9" w:name="_Toc43808702"/>
      <w:r>
        <w:t>1.4</w:t>
      </w:r>
      <w:r w:rsidR="00361724">
        <w:tab/>
        <w:t>Overview of Insurance industry in Afghanistan</w:t>
      </w:r>
      <w:bookmarkEnd w:id="9"/>
    </w:p>
    <w:p w:rsidR="00361724" w:rsidRDefault="00361724" w:rsidP="00361724">
      <w:pPr>
        <w:pStyle w:val="NoSpacing"/>
      </w:pPr>
    </w:p>
    <w:p w:rsidR="00FA59D5" w:rsidRDefault="00FC373C" w:rsidP="007A33FF">
      <w:pPr>
        <w:pStyle w:val="NoSpacing"/>
        <w:jc w:val="both"/>
        <w:rPr>
          <w:rFonts w:cstheme="minorHAnsi"/>
          <w:sz w:val="24"/>
        </w:rPr>
      </w:pPr>
      <w:r w:rsidRPr="00FE3786">
        <w:rPr>
          <w:rFonts w:cstheme="minorHAnsi"/>
          <w:sz w:val="24"/>
        </w:rPr>
        <w:t xml:space="preserve">Afghanistan </w:t>
      </w:r>
      <w:r w:rsidR="007910D4" w:rsidRPr="00FE3786">
        <w:rPr>
          <w:rFonts w:cstheme="minorHAnsi"/>
          <w:sz w:val="24"/>
        </w:rPr>
        <w:t>is an agricultur</w:t>
      </w:r>
      <w:r w:rsidR="00D05574" w:rsidRPr="00FE3786">
        <w:rPr>
          <w:rFonts w:cstheme="minorHAnsi"/>
          <w:sz w:val="24"/>
        </w:rPr>
        <w:t>e</w:t>
      </w:r>
      <w:r w:rsidR="007910D4" w:rsidRPr="00FE3786">
        <w:rPr>
          <w:rFonts w:cstheme="minorHAnsi"/>
          <w:sz w:val="24"/>
        </w:rPr>
        <w:t>-</w:t>
      </w:r>
      <w:r w:rsidRPr="00FE3786">
        <w:rPr>
          <w:rFonts w:cstheme="minorHAnsi"/>
          <w:sz w:val="24"/>
        </w:rPr>
        <w:t>based economy, which suffers from a</w:t>
      </w:r>
      <w:r w:rsidR="007910D4" w:rsidRPr="00FE3786">
        <w:rPr>
          <w:rFonts w:cstheme="minorHAnsi"/>
          <w:sz w:val="24"/>
        </w:rPr>
        <w:t xml:space="preserve"> relatively </w:t>
      </w:r>
      <w:r w:rsidRPr="00FE3786">
        <w:rPr>
          <w:rFonts w:cstheme="minorHAnsi"/>
          <w:sz w:val="24"/>
        </w:rPr>
        <w:t xml:space="preserve">underdeveloped infrastructure and business environment. There are currently </w:t>
      </w:r>
      <w:r w:rsidR="007F4A32" w:rsidRPr="00FE3786">
        <w:rPr>
          <w:rFonts w:cstheme="minorHAnsi"/>
          <w:sz w:val="24"/>
        </w:rPr>
        <w:t>five d</w:t>
      </w:r>
      <w:r w:rsidRPr="00FE3786">
        <w:rPr>
          <w:rFonts w:cstheme="minorHAnsi"/>
          <w:sz w:val="24"/>
        </w:rPr>
        <w:t>omestic insurance companies operating in Afghanistan</w:t>
      </w:r>
      <w:r w:rsidR="00DB2B33" w:rsidRPr="00FE3786">
        <w:rPr>
          <w:rFonts w:cstheme="minorHAnsi"/>
          <w:sz w:val="24"/>
        </w:rPr>
        <w:t>,</w:t>
      </w:r>
      <w:r w:rsidRPr="00FE3786">
        <w:rPr>
          <w:rFonts w:cstheme="minorHAnsi"/>
          <w:sz w:val="24"/>
        </w:rPr>
        <w:t xml:space="preserve"> </w:t>
      </w:r>
      <w:r w:rsidR="00DB2B33" w:rsidRPr="00FE3786">
        <w:rPr>
          <w:rFonts w:cstheme="minorHAnsi"/>
          <w:sz w:val="24"/>
        </w:rPr>
        <w:t xml:space="preserve">including </w:t>
      </w:r>
      <w:r w:rsidRPr="00FE3786">
        <w:rPr>
          <w:rFonts w:cstheme="minorHAnsi"/>
          <w:sz w:val="24"/>
        </w:rPr>
        <w:t xml:space="preserve">one public and </w:t>
      </w:r>
      <w:r w:rsidR="00D33EF1">
        <w:rPr>
          <w:rFonts w:cstheme="minorHAnsi"/>
          <w:sz w:val="24"/>
        </w:rPr>
        <w:t xml:space="preserve">four </w:t>
      </w:r>
      <w:r w:rsidR="000B7FE4" w:rsidRPr="00FE3786">
        <w:rPr>
          <w:rFonts w:cstheme="minorHAnsi"/>
          <w:sz w:val="24"/>
        </w:rPr>
        <w:t>privately held</w:t>
      </w:r>
      <w:r w:rsidRPr="00FE3786">
        <w:rPr>
          <w:rFonts w:cstheme="minorHAnsi"/>
          <w:sz w:val="24"/>
        </w:rPr>
        <w:t xml:space="preserve"> insurers</w:t>
      </w:r>
      <w:r w:rsidR="00DB2B33" w:rsidRPr="00FE3786">
        <w:rPr>
          <w:rFonts w:cstheme="minorHAnsi"/>
          <w:sz w:val="24"/>
        </w:rPr>
        <w:t>.</w:t>
      </w:r>
      <w:r w:rsidRPr="00FE3786">
        <w:rPr>
          <w:rFonts w:cstheme="minorHAnsi"/>
          <w:sz w:val="24"/>
        </w:rPr>
        <w:t xml:space="preserve"> </w:t>
      </w:r>
      <w:r w:rsidR="00DB2B33" w:rsidRPr="00FE3786">
        <w:rPr>
          <w:rFonts w:cstheme="minorHAnsi"/>
          <w:sz w:val="24"/>
        </w:rPr>
        <w:t xml:space="preserve"> The state-o</w:t>
      </w:r>
      <w:r w:rsidRPr="00FE3786">
        <w:rPr>
          <w:rFonts w:cstheme="minorHAnsi"/>
          <w:sz w:val="24"/>
        </w:rPr>
        <w:t xml:space="preserve">wned Afghan National Insurance Corporation (ANIC) </w:t>
      </w:r>
      <w:r w:rsidR="00DB2B33" w:rsidRPr="00FE3786">
        <w:rPr>
          <w:rFonts w:cstheme="minorHAnsi"/>
          <w:sz w:val="24"/>
        </w:rPr>
        <w:t xml:space="preserve">was </w:t>
      </w:r>
      <w:r w:rsidRPr="00FE3786">
        <w:rPr>
          <w:rFonts w:cstheme="minorHAnsi"/>
          <w:sz w:val="24"/>
        </w:rPr>
        <w:t>established in 1964,</w:t>
      </w:r>
      <w:r w:rsidR="00DB2B33" w:rsidRPr="00FE3786">
        <w:rPr>
          <w:rFonts w:cstheme="minorHAnsi"/>
          <w:sz w:val="24"/>
        </w:rPr>
        <w:t xml:space="preserve"> while</w:t>
      </w:r>
      <w:r w:rsidRPr="00FE3786">
        <w:rPr>
          <w:rFonts w:cstheme="minorHAnsi"/>
          <w:sz w:val="24"/>
        </w:rPr>
        <w:t xml:space="preserve"> Insurance </w:t>
      </w:r>
      <w:r w:rsidRPr="00FE3786">
        <w:rPr>
          <w:rFonts w:cstheme="minorHAnsi"/>
          <w:sz w:val="24"/>
        </w:rPr>
        <w:lastRenderedPageBreak/>
        <w:t xml:space="preserve">Corporation of Afghanistan (ICA) </w:t>
      </w:r>
      <w:r w:rsidR="00DB2B33" w:rsidRPr="00FE3786">
        <w:rPr>
          <w:rFonts w:cstheme="minorHAnsi"/>
          <w:sz w:val="24"/>
        </w:rPr>
        <w:t xml:space="preserve">in </w:t>
      </w:r>
      <w:r w:rsidRPr="00FE3786">
        <w:rPr>
          <w:rFonts w:cstheme="minorHAnsi"/>
          <w:sz w:val="24"/>
        </w:rPr>
        <w:t xml:space="preserve">2007, </w:t>
      </w:r>
      <w:r w:rsidR="00DB2B33" w:rsidRPr="00FE3786">
        <w:rPr>
          <w:rFonts w:cstheme="minorHAnsi"/>
          <w:sz w:val="24"/>
        </w:rPr>
        <w:t xml:space="preserve">the </w:t>
      </w:r>
      <w:r w:rsidRPr="00FE3786">
        <w:rPr>
          <w:rFonts w:cstheme="minorHAnsi"/>
          <w:sz w:val="24"/>
        </w:rPr>
        <w:t xml:space="preserve">Afghan Global Insurance (AGI) </w:t>
      </w:r>
      <w:r w:rsidR="00DB2B33" w:rsidRPr="00FE3786">
        <w:rPr>
          <w:rFonts w:cstheme="minorHAnsi"/>
          <w:sz w:val="24"/>
        </w:rPr>
        <w:t xml:space="preserve">in </w:t>
      </w:r>
      <w:r w:rsidRPr="00FE3786">
        <w:rPr>
          <w:rFonts w:cstheme="minorHAnsi"/>
          <w:sz w:val="24"/>
        </w:rPr>
        <w:t xml:space="preserve">2010, and </w:t>
      </w:r>
      <w:r w:rsidR="00DB2B33" w:rsidRPr="00FE3786">
        <w:rPr>
          <w:rFonts w:cstheme="minorHAnsi"/>
          <w:sz w:val="24"/>
        </w:rPr>
        <w:t xml:space="preserve">the </w:t>
      </w:r>
      <w:r w:rsidRPr="00FE3786">
        <w:rPr>
          <w:rFonts w:cstheme="minorHAnsi"/>
          <w:sz w:val="24"/>
        </w:rPr>
        <w:t xml:space="preserve">Sky Insurance </w:t>
      </w:r>
      <w:r w:rsidR="00DB2B33" w:rsidRPr="00FE3786">
        <w:rPr>
          <w:rFonts w:cstheme="minorHAnsi"/>
          <w:sz w:val="24"/>
        </w:rPr>
        <w:t xml:space="preserve">in </w:t>
      </w:r>
      <w:r w:rsidRPr="00FE3786">
        <w:rPr>
          <w:rFonts w:cstheme="minorHAnsi"/>
          <w:sz w:val="24"/>
        </w:rPr>
        <w:t>2016</w:t>
      </w:r>
      <w:r w:rsidR="00194949" w:rsidRPr="00FE3786">
        <w:rPr>
          <w:rFonts w:cstheme="minorHAnsi"/>
          <w:sz w:val="24"/>
        </w:rPr>
        <w:t>, and the Sadra Insurance in 2018</w:t>
      </w:r>
      <w:r w:rsidRPr="00FE3786">
        <w:rPr>
          <w:rFonts w:cstheme="minorHAnsi"/>
          <w:sz w:val="24"/>
        </w:rPr>
        <w:t xml:space="preserve">. </w:t>
      </w:r>
      <w:r w:rsidR="00DB2B33" w:rsidRPr="00FE3786">
        <w:rPr>
          <w:rFonts w:cstheme="minorHAnsi"/>
          <w:sz w:val="24"/>
        </w:rPr>
        <w:t xml:space="preserve"> </w:t>
      </w:r>
      <w:r w:rsidRPr="00FE3786">
        <w:rPr>
          <w:rFonts w:cstheme="minorHAnsi"/>
          <w:sz w:val="24"/>
        </w:rPr>
        <w:t xml:space="preserve">Further, </w:t>
      </w:r>
      <w:r w:rsidR="00DB2B33" w:rsidRPr="00FE3786">
        <w:rPr>
          <w:rFonts w:cstheme="minorHAnsi"/>
          <w:sz w:val="24"/>
        </w:rPr>
        <w:t xml:space="preserve">there are </w:t>
      </w:r>
      <w:r w:rsidRPr="00FE3786">
        <w:rPr>
          <w:rFonts w:cstheme="minorHAnsi"/>
          <w:sz w:val="24"/>
        </w:rPr>
        <w:t xml:space="preserve">two branches of </w:t>
      </w:r>
      <w:r w:rsidR="00D33EF1">
        <w:rPr>
          <w:rFonts w:cstheme="minorHAnsi"/>
          <w:sz w:val="24"/>
        </w:rPr>
        <w:t xml:space="preserve">foreign </w:t>
      </w:r>
      <w:r w:rsidRPr="00FE3786">
        <w:rPr>
          <w:rFonts w:cstheme="minorHAnsi"/>
          <w:sz w:val="24"/>
        </w:rPr>
        <w:t>insurance companies</w:t>
      </w:r>
      <w:r w:rsidR="00DB2B33" w:rsidRPr="00FE3786">
        <w:rPr>
          <w:rFonts w:cstheme="minorHAnsi"/>
          <w:sz w:val="24"/>
        </w:rPr>
        <w:t>,</w:t>
      </w:r>
      <w:r w:rsidRPr="00FE3786">
        <w:rPr>
          <w:rFonts w:cstheme="minorHAnsi"/>
          <w:sz w:val="24"/>
        </w:rPr>
        <w:t xml:space="preserve"> </w:t>
      </w:r>
      <w:r w:rsidR="00D33EF1">
        <w:rPr>
          <w:rFonts w:cstheme="minorHAnsi"/>
          <w:sz w:val="24"/>
        </w:rPr>
        <w:t xml:space="preserve">both from Iran, </w:t>
      </w:r>
      <w:r w:rsidRPr="00FE3786">
        <w:rPr>
          <w:rFonts w:cstheme="minorHAnsi"/>
          <w:sz w:val="24"/>
        </w:rPr>
        <w:t xml:space="preserve">namely </w:t>
      </w:r>
      <w:r w:rsidR="00DB2B33" w:rsidRPr="00FE3786">
        <w:rPr>
          <w:rFonts w:cstheme="minorHAnsi"/>
          <w:sz w:val="24"/>
        </w:rPr>
        <w:t xml:space="preserve">the </w:t>
      </w:r>
      <w:r w:rsidR="005A3ACB">
        <w:rPr>
          <w:rFonts w:cstheme="minorHAnsi"/>
          <w:sz w:val="24"/>
        </w:rPr>
        <w:t>Razi</w:t>
      </w:r>
      <w:r w:rsidR="00623CC6" w:rsidRPr="00FE3786">
        <w:rPr>
          <w:rFonts w:cstheme="minorHAnsi"/>
          <w:sz w:val="24"/>
        </w:rPr>
        <w:t xml:space="preserve"> Insurance Agent</w:t>
      </w:r>
      <w:r w:rsidRPr="00FE3786">
        <w:rPr>
          <w:rFonts w:cstheme="minorHAnsi"/>
          <w:sz w:val="24"/>
        </w:rPr>
        <w:t xml:space="preserve"> </w:t>
      </w:r>
      <w:r w:rsidR="00D33EF1">
        <w:rPr>
          <w:rFonts w:cstheme="minorHAnsi"/>
          <w:sz w:val="24"/>
        </w:rPr>
        <w:t xml:space="preserve">and the </w:t>
      </w:r>
      <w:r w:rsidRPr="00FE3786">
        <w:rPr>
          <w:rFonts w:cstheme="minorHAnsi"/>
          <w:sz w:val="24"/>
        </w:rPr>
        <w:t>M</w:t>
      </w:r>
      <w:r w:rsidR="00697CA8">
        <w:rPr>
          <w:rFonts w:cstheme="minorHAnsi"/>
          <w:sz w:val="24"/>
        </w:rPr>
        <w:t xml:space="preserve">ellat </w:t>
      </w:r>
      <w:r w:rsidR="00623CC6" w:rsidRPr="00FE3786">
        <w:rPr>
          <w:rFonts w:cstheme="minorHAnsi"/>
          <w:sz w:val="24"/>
        </w:rPr>
        <w:t>Insurance Agent</w:t>
      </w:r>
      <w:r w:rsidR="00DB2B33" w:rsidRPr="00FE3786">
        <w:rPr>
          <w:rFonts w:cstheme="minorHAnsi"/>
          <w:sz w:val="24"/>
        </w:rPr>
        <w:t>,</w:t>
      </w:r>
      <w:r w:rsidRPr="00FE3786">
        <w:rPr>
          <w:rFonts w:cstheme="minorHAnsi"/>
          <w:sz w:val="24"/>
        </w:rPr>
        <w:t xml:space="preserve"> </w:t>
      </w:r>
      <w:r w:rsidR="00DB2B33" w:rsidRPr="00FE3786">
        <w:rPr>
          <w:rFonts w:cstheme="minorHAnsi"/>
          <w:sz w:val="24"/>
        </w:rPr>
        <w:t xml:space="preserve">which </w:t>
      </w:r>
      <w:r w:rsidRPr="00FE3786">
        <w:rPr>
          <w:rFonts w:cstheme="minorHAnsi"/>
          <w:sz w:val="24"/>
        </w:rPr>
        <w:t xml:space="preserve">are also operating </w:t>
      </w:r>
      <w:r w:rsidR="007B5105" w:rsidRPr="00FE3786">
        <w:rPr>
          <w:rFonts w:cstheme="minorHAnsi"/>
          <w:sz w:val="24"/>
        </w:rPr>
        <w:t xml:space="preserve">in the country but limited </w:t>
      </w:r>
      <w:r w:rsidRPr="00FE3786">
        <w:rPr>
          <w:rFonts w:cstheme="minorHAnsi"/>
          <w:sz w:val="24"/>
        </w:rPr>
        <w:t xml:space="preserve">only </w:t>
      </w:r>
      <w:r w:rsidR="007B5105" w:rsidRPr="00FE3786">
        <w:rPr>
          <w:rFonts w:cstheme="minorHAnsi"/>
          <w:sz w:val="24"/>
        </w:rPr>
        <w:t xml:space="preserve">to the </w:t>
      </w:r>
      <w:r w:rsidR="00D33EF1">
        <w:rPr>
          <w:rFonts w:cstheme="minorHAnsi"/>
          <w:sz w:val="24"/>
        </w:rPr>
        <w:t xml:space="preserve">business </w:t>
      </w:r>
      <w:r w:rsidR="005A3ACB">
        <w:rPr>
          <w:rFonts w:cstheme="minorHAnsi"/>
          <w:sz w:val="24"/>
        </w:rPr>
        <w:t>of travel insurance.</w:t>
      </w:r>
    </w:p>
    <w:p w:rsidR="00FA59D5" w:rsidRPr="00FE3786" w:rsidRDefault="00FA59D5" w:rsidP="007A33FF">
      <w:pPr>
        <w:pStyle w:val="NoSpacing"/>
        <w:jc w:val="both"/>
        <w:rPr>
          <w:rFonts w:cstheme="minorHAnsi"/>
          <w:sz w:val="24"/>
        </w:rPr>
      </w:pPr>
    </w:p>
    <w:p w:rsidR="00C334E6" w:rsidRDefault="00FC373C" w:rsidP="007A33FF">
      <w:pPr>
        <w:pStyle w:val="NoSpacing"/>
        <w:jc w:val="both"/>
        <w:rPr>
          <w:rFonts w:cstheme="minorHAnsi"/>
          <w:sz w:val="24"/>
        </w:rPr>
      </w:pPr>
      <w:r w:rsidRPr="00FE3786">
        <w:rPr>
          <w:rFonts w:cstheme="minorHAnsi"/>
          <w:sz w:val="24"/>
        </w:rPr>
        <w:t xml:space="preserve">These </w:t>
      </w:r>
      <w:r w:rsidR="007B5105" w:rsidRPr="00FE3786">
        <w:rPr>
          <w:rFonts w:cstheme="minorHAnsi"/>
          <w:sz w:val="24"/>
        </w:rPr>
        <w:t xml:space="preserve">all are non-life </w:t>
      </w:r>
      <w:r w:rsidR="00C334E6" w:rsidRPr="00FE3786">
        <w:rPr>
          <w:rFonts w:cstheme="minorHAnsi"/>
          <w:sz w:val="24"/>
        </w:rPr>
        <w:t xml:space="preserve">(general) </w:t>
      </w:r>
      <w:r w:rsidRPr="00FE3786">
        <w:rPr>
          <w:rFonts w:cstheme="minorHAnsi"/>
          <w:sz w:val="24"/>
        </w:rPr>
        <w:t xml:space="preserve">insurance companies </w:t>
      </w:r>
      <w:r w:rsidR="007B5105" w:rsidRPr="00FE3786">
        <w:rPr>
          <w:rFonts w:cstheme="minorHAnsi"/>
          <w:sz w:val="24"/>
        </w:rPr>
        <w:t xml:space="preserve">and </w:t>
      </w:r>
      <w:r w:rsidRPr="00FE3786">
        <w:rPr>
          <w:rFonts w:cstheme="minorHAnsi"/>
          <w:sz w:val="24"/>
        </w:rPr>
        <w:t xml:space="preserve">are currently providing </w:t>
      </w:r>
      <w:r w:rsidR="007B5105" w:rsidRPr="00FE3786">
        <w:rPr>
          <w:rFonts w:cstheme="minorHAnsi"/>
          <w:sz w:val="24"/>
        </w:rPr>
        <w:t xml:space="preserve">nearly 30 </w:t>
      </w:r>
      <w:r w:rsidRPr="00FE3786">
        <w:rPr>
          <w:rFonts w:cstheme="minorHAnsi"/>
          <w:sz w:val="24"/>
        </w:rPr>
        <w:t xml:space="preserve">types of </w:t>
      </w:r>
      <w:r w:rsidR="00C334E6" w:rsidRPr="00FE3786">
        <w:rPr>
          <w:rFonts w:cstheme="minorHAnsi"/>
          <w:sz w:val="24"/>
        </w:rPr>
        <w:t xml:space="preserve">non-life </w:t>
      </w:r>
      <w:r w:rsidRPr="00FE3786">
        <w:rPr>
          <w:rFonts w:cstheme="minorHAnsi"/>
          <w:sz w:val="24"/>
        </w:rPr>
        <w:t xml:space="preserve">insurance products across the country, </w:t>
      </w:r>
      <w:r w:rsidR="007B5105" w:rsidRPr="00FE3786">
        <w:rPr>
          <w:rFonts w:cstheme="minorHAnsi"/>
          <w:sz w:val="24"/>
        </w:rPr>
        <w:t xml:space="preserve">including the </w:t>
      </w:r>
      <w:r w:rsidRPr="00FE3786">
        <w:rPr>
          <w:rFonts w:cstheme="minorHAnsi"/>
          <w:sz w:val="24"/>
        </w:rPr>
        <w:t>health insurance, aviation, personal accident, fir</w:t>
      </w:r>
      <w:r w:rsidR="00D65C8E">
        <w:rPr>
          <w:rFonts w:cstheme="minorHAnsi"/>
          <w:sz w:val="24"/>
        </w:rPr>
        <w:t xml:space="preserve">e, travel, and motor insurance.  </w:t>
      </w:r>
      <w:r w:rsidR="00D65C8E" w:rsidRPr="00FE3786">
        <w:rPr>
          <w:rFonts w:cstheme="minorHAnsi"/>
          <w:sz w:val="24"/>
        </w:rPr>
        <w:t>At present, there are no insurers in the country providing the life insurance products.</w:t>
      </w:r>
    </w:p>
    <w:p w:rsidR="00D65C8E" w:rsidRDefault="00D65C8E" w:rsidP="007A33FF">
      <w:pPr>
        <w:pStyle w:val="NoSpacing"/>
        <w:jc w:val="both"/>
        <w:rPr>
          <w:rFonts w:cstheme="minorHAnsi"/>
          <w:sz w:val="24"/>
        </w:rPr>
      </w:pPr>
    </w:p>
    <w:p w:rsidR="00D65C8E" w:rsidRDefault="00D65C8E" w:rsidP="00D65C8E">
      <w:pPr>
        <w:jc w:val="center"/>
      </w:pPr>
      <w:r>
        <w:rPr>
          <w:noProof/>
          <w:lang w:val="en-US" w:eastAsia="en-US"/>
        </w:rPr>
        <w:drawing>
          <wp:inline distT="0" distB="0" distL="0" distR="0" wp14:anchorId="30DFAD4A" wp14:editId="1007CF88">
            <wp:extent cx="4572000" cy="2682240"/>
            <wp:effectExtent l="0" t="0" r="19050" b="2286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65C8E" w:rsidRDefault="00D65C8E" w:rsidP="00D65C8E">
      <w:pPr>
        <w:pStyle w:val="Caption"/>
        <w:jc w:val="center"/>
      </w:pPr>
      <w:r>
        <w:t xml:space="preserve">Figure </w:t>
      </w:r>
      <w:r>
        <w:fldChar w:fldCharType="begin"/>
      </w:r>
      <w:r>
        <w:instrText xml:space="preserve"> SEQ Figure \* ARABIC </w:instrText>
      </w:r>
      <w:r>
        <w:fldChar w:fldCharType="separate"/>
      </w:r>
      <w:r>
        <w:rPr>
          <w:noProof/>
        </w:rPr>
        <w:t>3</w:t>
      </w:r>
      <w:r>
        <w:fldChar w:fldCharType="end"/>
      </w:r>
      <w:r>
        <w:t xml:space="preserve">: </w:t>
      </w:r>
      <w:r w:rsidRPr="001D12FF">
        <w:t>Market Share of Top Five Insurance Products in Afghanistan (in percentages)</w:t>
      </w:r>
    </w:p>
    <w:p w:rsidR="00D65C8E" w:rsidRPr="00D65C8E" w:rsidRDefault="00D65C8E" w:rsidP="00D65C8E"/>
    <w:p w:rsidR="00D65C8E" w:rsidRDefault="00D65C8E" w:rsidP="00D65C8E">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w:t>
      </w:r>
      <w:r w:rsidRPr="00535DCE">
        <w:t>Market Share of Top Five Insurance Products in Afghanistan</w:t>
      </w:r>
    </w:p>
    <w:tbl>
      <w:tblPr>
        <w:tblStyle w:val="GridTable1Light-Accent51"/>
        <w:tblW w:w="6897" w:type="dxa"/>
        <w:jc w:val="center"/>
        <w:tblLook w:val="04A0" w:firstRow="1" w:lastRow="0" w:firstColumn="1" w:lastColumn="0" w:noHBand="0" w:noVBand="1"/>
      </w:tblPr>
      <w:tblGrid>
        <w:gridCol w:w="3177"/>
        <w:gridCol w:w="1240"/>
        <w:gridCol w:w="1240"/>
        <w:gridCol w:w="1240"/>
      </w:tblGrid>
      <w:tr w:rsidR="00D65C8E" w:rsidRPr="00D65C8E" w:rsidTr="007C0D4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77" w:type="dxa"/>
            <w:noWrap/>
            <w:hideMark/>
          </w:tcPr>
          <w:p w:rsidR="00D65C8E" w:rsidRPr="00D65C8E" w:rsidRDefault="00D65C8E" w:rsidP="007C0D44">
            <w:pPr>
              <w:rPr>
                <w:rFonts w:ascii="Calibri" w:hAnsi="Calibri" w:cs="Calibri"/>
                <w:color w:val="000000"/>
                <w:sz w:val="22"/>
                <w:szCs w:val="22"/>
              </w:rPr>
            </w:pPr>
          </w:p>
        </w:tc>
        <w:tc>
          <w:tcPr>
            <w:tcW w:w="1240" w:type="dxa"/>
            <w:noWrap/>
            <w:hideMark/>
          </w:tcPr>
          <w:p w:rsidR="00D65C8E" w:rsidRPr="00D65C8E" w:rsidRDefault="00D65C8E" w:rsidP="007C0D44">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65C8E">
              <w:rPr>
                <w:rFonts w:ascii="Calibri" w:hAnsi="Calibri" w:cs="Calibri"/>
                <w:color w:val="000000"/>
                <w:sz w:val="22"/>
                <w:szCs w:val="22"/>
              </w:rPr>
              <w:t>2017</w:t>
            </w:r>
          </w:p>
        </w:tc>
        <w:tc>
          <w:tcPr>
            <w:tcW w:w="1240" w:type="dxa"/>
            <w:noWrap/>
            <w:hideMark/>
          </w:tcPr>
          <w:p w:rsidR="00D65C8E" w:rsidRPr="00D65C8E" w:rsidRDefault="00D65C8E" w:rsidP="007C0D44">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65C8E">
              <w:rPr>
                <w:rFonts w:ascii="Calibri" w:hAnsi="Calibri" w:cs="Calibri"/>
                <w:color w:val="000000"/>
                <w:sz w:val="22"/>
                <w:szCs w:val="22"/>
              </w:rPr>
              <w:t>2018</w:t>
            </w:r>
          </w:p>
        </w:tc>
        <w:tc>
          <w:tcPr>
            <w:tcW w:w="1240" w:type="dxa"/>
            <w:noWrap/>
            <w:hideMark/>
          </w:tcPr>
          <w:p w:rsidR="00D65C8E" w:rsidRPr="00D65C8E" w:rsidRDefault="00D65C8E" w:rsidP="007C0D44">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65C8E">
              <w:rPr>
                <w:rFonts w:ascii="Calibri" w:hAnsi="Calibri" w:cs="Calibri"/>
                <w:color w:val="000000"/>
                <w:sz w:val="22"/>
                <w:szCs w:val="22"/>
              </w:rPr>
              <w:t>2019</w:t>
            </w:r>
          </w:p>
        </w:tc>
      </w:tr>
      <w:tr w:rsidR="00D65C8E" w:rsidRPr="00D65C8E" w:rsidTr="007C0D44">
        <w:trPr>
          <w:trHeight w:val="300"/>
          <w:jc w:val="center"/>
        </w:trPr>
        <w:tc>
          <w:tcPr>
            <w:cnfStyle w:val="001000000000" w:firstRow="0" w:lastRow="0" w:firstColumn="1" w:lastColumn="0" w:oddVBand="0" w:evenVBand="0" w:oddHBand="0" w:evenHBand="0" w:firstRowFirstColumn="0" w:firstRowLastColumn="0" w:lastRowFirstColumn="0" w:lastRowLastColumn="0"/>
            <w:tcW w:w="3177" w:type="dxa"/>
            <w:noWrap/>
          </w:tcPr>
          <w:p w:rsidR="00D65C8E" w:rsidRPr="00D65C8E" w:rsidRDefault="00D65C8E" w:rsidP="007C0D44">
            <w:pPr>
              <w:rPr>
                <w:rFonts w:ascii="Calibri" w:hAnsi="Calibri" w:cs="Calibri"/>
                <w:color w:val="000000"/>
                <w:sz w:val="22"/>
                <w:szCs w:val="22"/>
              </w:rPr>
            </w:pPr>
          </w:p>
        </w:tc>
        <w:tc>
          <w:tcPr>
            <w:tcW w:w="1240" w:type="dxa"/>
            <w:noWrap/>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65C8E">
              <w:rPr>
                <w:rFonts w:ascii="Calibri" w:hAnsi="Calibri" w:cs="Calibri"/>
                <w:color w:val="000000"/>
                <w:sz w:val="22"/>
                <w:szCs w:val="22"/>
              </w:rPr>
              <w:t>%</w:t>
            </w:r>
          </w:p>
        </w:tc>
        <w:tc>
          <w:tcPr>
            <w:tcW w:w="1240" w:type="dxa"/>
            <w:noWrap/>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65C8E">
              <w:rPr>
                <w:rFonts w:ascii="Calibri" w:hAnsi="Calibri" w:cs="Calibri"/>
                <w:color w:val="000000"/>
                <w:sz w:val="22"/>
                <w:szCs w:val="22"/>
              </w:rPr>
              <w:t>%</w:t>
            </w:r>
          </w:p>
        </w:tc>
        <w:tc>
          <w:tcPr>
            <w:tcW w:w="1240" w:type="dxa"/>
            <w:noWrap/>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65C8E">
              <w:rPr>
                <w:rFonts w:ascii="Calibri" w:hAnsi="Calibri" w:cs="Calibri"/>
                <w:color w:val="000000"/>
                <w:sz w:val="22"/>
                <w:szCs w:val="22"/>
              </w:rPr>
              <w:t>%</w:t>
            </w:r>
          </w:p>
        </w:tc>
      </w:tr>
      <w:tr w:rsidR="00D65C8E" w:rsidRPr="00D65C8E" w:rsidTr="007C0D44">
        <w:trPr>
          <w:trHeight w:val="38"/>
          <w:jc w:val="center"/>
        </w:trPr>
        <w:tc>
          <w:tcPr>
            <w:cnfStyle w:val="001000000000" w:firstRow="0" w:lastRow="0" w:firstColumn="1" w:lastColumn="0" w:oddVBand="0" w:evenVBand="0" w:oddHBand="0" w:evenHBand="0" w:firstRowFirstColumn="0" w:firstRowLastColumn="0" w:lastRowFirstColumn="0" w:lastRowLastColumn="0"/>
            <w:tcW w:w="3177" w:type="dxa"/>
            <w:hideMark/>
          </w:tcPr>
          <w:p w:rsidR="00D65C8E" w:rsidRPr="00D65C8E" w:rsidRDefault="00D65C8E" w:rsidP="007C0D44">
            <w:pPr>
              <w:rPr>
                <w:rFonts w:ascii="Calibri" w:hAnsi="Calibri" w:cs="Calibri"/>
                <w:color w:val="595959"/>
                <w:sz w:val="22"/>
                <w:szCs w:val="22"/>
              </w:rPr>
            </w:pPr>
            <w:r w:rsidRPr="00D65C8E">
              <w:rPr>
                <w:rFonts w:ascii="Calibri" w:hAnsi="Calibri" w:cs="Calibri"/>
                <w:color w:val="595959"/>
                <w:sz w:val="22"/>
                <w:szCs w:val="22"/>
                <w:lang w:val="en-US"/>
              </w:rPr>
              <w:t>Travel Insurance</w:t>
            </w:r>
          </w:p>
        </w:tc>
        <w:tc>
          <w:tcPr>
            <w:tcW w:w="1240" w:type="dxa"/>
            <w:hideMark/>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595959"/>
                <w:sz w:val="22"/>
                <w:szCs w:val="22"/>
              </w:rPr>
            </w:pPr>
            <w:r w:rsidRPr="00D65C8E">
              <w:rPr>
                <w:rFonts w:ascii="Calibri" w:hAnsi="Calibri" w:cs="Calibri"/>
                <w:color w:val="595959"/>
                <w:sz w:val="22"/>
                <w:szCs w:val="22"/>
                <w:lang w:val="en-US"/>
              </w:rPr>
              <w:t>45.64</w:t>
            </w:r>
          </w:p>
        </w:tc>
        <w:tc>
          <w:tcPr>
            <w:tcW w:w="1240" w:type="dxa"/>
            <w:hideMark/>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595959"/>
                <w:sz w:val="22"/>
                <w:szCs w:val="22"/>
              </w:rPr>
            </w:pPr>
            <w:r w:rsidRPr="00D65C8E">
              <w:rPr>
                <w:rFonts w:ascii="Calibri" w:hAnsi="Calibri" w:cs="Calibri"/>
                <w:color w:val="595959"/>
                <w:sz w:val="22"/>
                <w:szCs w:val="22"/>
                <w:lang w:val="en-US"/>
              </w:rPr>
              <w:t>88.9</w:t>
            </w:r>
          </w:p>
        </w:tc>
        <w:tc>
          <w:tcPr>
            <w:tcW w:w="1240" w:type="dxa"/>
            <w:hideMark/>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595959"/>
                <w:sz w:val="22"/>
                <w:szCs w:val="22"/>
              </w:rPr>
            </w:pPr>
            <w:r w:rsidRPr="00D65C8E">
              <w:rPr>
                <w:rFonts w:ascii="Calibri" w:hAnsi="Calibri" w:cs="Calibri"/>
                <w:color w:val="595959"/>
                <w:sz w:val="22"/>
                <w:szCs w:val="22"/>
                <w:lang w:val="en-US"/>
              </w:rPr>
              <w:t>62.21</w:t>
            </w:r>
          </w:p>
        </w:tc>
      </w:tr>
      <w:tr w:rsidR="00D65C8E" w:rsidRPr="00D65C8E" w:rsidTr="007C0D44">
        <w:trPr>
          <w:trHeight w:val="58"/>
          <w:jc w:val="center"/>
        </w:trPr>
        <w:tc>
          <w:tcPr>
            <w:cnfStyle w:val="001000000000" w:firstRow="0" w:lastRow="0" w:firstColumn="1" w:lastColumn="0" w:oddVBand="0" w:evenVBand="0" w:oddHBand="0" w:evenHBand="0" w:firstRowFirstColumn="0" w:firstRowLastColumn="0" w:lastRowFirstColumn="0" w:lastRowLastColumn="0"/>
            <w:tcW w:w="3177" w:type="dxa"/>
            <w:hideMark/>
          </w:tcPr>
          <w:p w:rsidR="00D65C8E" w:rsidRPr="00D65C8E" w:rsidRDefault="00D65C8E" w:rsidP="007C0D44">
            <w:pPr>
              <w:rPr>
                <w:rFonts w:ascii="Calibri" w:hAnsi="Calibri" w:cs="Calibri"/>
                <w:color w:val="595959"/>
                <w:sz w:val="22"/>
                <w:szCs w:val="22"/>
              </w:rPr>
            </w:pPr>
            <w:r w:rsidRPr="00D65C8E">
              <w:rPr>
                <w:rFonts w:ascii="Calibri" w:hAnsi="Calibri" w:cs="Calibri"/>
                <w:color w:val="595959"/>
                <w:sz w:val="22"/>
                <w:szCs w:val="22"/>
                <w:lang w:val="en-US"/>
              </w:rPr>
              <w:t>Motor Third Party Insurance</w:t>
            </w:r>
          </w:p>
        </w:tc>
        <w:tc>
          <w:tcPr>
            <w:tcW w:w="1240" w:type="dxa"/>
            <w:hideMark/>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595959"/>
                <w:sz w:val="22"/>
                <w:szCs w:val="22"/>
              </w:rPr>
            </w:pPr>
            <w:r w:rsidRPr="00D65C8E">
              <w:rPr>
                <w:rFonts w:ascii="Calibri" w:hAnsi="Calibri" w:cs="Calibri"/>
                <w:color w:val="595959"/>
                <w:sz w:val="22"/>
                <w:szCs w:val="22"/>
                <w:lang w:val="en-US"/>
              </w:rPr>
              <w:t>0</w:t>
            </w:r>
          </w:p>
        </w:tc>
        <w:tc>
          <w:tcPr>
            <w:tcW w:w="1240" w:type="dxa"/>
            <w:hideMark/>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595959"/>
                <w:sz w:val="22"/>
                <w:szCs w:val="22"/>
              </w:rPr>
            </w:pPr>
            <w:r w:rsidRPr="00D65C8E">
              <w:rPr>
                <w:rFonts w:ascii="Calibri" w:hAnsi="Calibri" w:cs="Calibri"/>
                <w:color w:val="595959"/>
                <w:sz w:val="22"/>
                <w:szCs w:val="22"/>
                <w:lang w:val="en-US"/>
              </w:rPr>
              <w:t>0</w:t>
            </w:r>
          </w:p>
        </w:tc>
        <w:tc>
          <w:tcPr>
            <w:tcW w:w="1240" w:type="dxa"/>
            <w:hideMark/>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595959"/>
                <w:sz w:val="22"/>
                <w:szCs w:val="22"/>
              </w:rPr>
            </w:pPr>
            <w:r w:rsidRPr="00D65C8E">
              <w:rPr>
                <w:rFonts w:ascii="Calibri" w:hAnsi="Calibri" w:cs="Calibri"/>
                <w:color w:val="595959"/>
                <w:sz w:val="22"/>
                <w:szCs w:val="22"/>
                <w:lang w:val="en-US"/>
              </w:rPr>
              <w:t>26.57</w:t>
            </w:r>
          </w:p>
        </w:tc>
      </w:tr>
      <w:tr w:rsidR="00D65C8E" w:rsidRPr="00D65C8E" w:rsidTr="007C0D44">
        <w:trPr>
          <w:trHeight w:val="58"/>
          <w:jc w:val="center"/>
        </w:trPr>
        <w:tc>
          <w:tcPr>
            <w:cnfStyle w:val="001000000000" w:firstRow="0" w:lastRow="0" w:firstColumn="1" w:lastColumn="0" w:oddVBand="0" w:evenVBand="0" w:oddHBand="0" w:evenHBand="0" w:firstRowFirstColumn="0" w:firstRowLastColumn="0" w:lastRowFirstColumn="0" w:lastRowLastColumn="0"/>
            <w:tcW w:w="3177" w:type="dxa"/>
            <w:hideMark/>
          </w:tcPr>
          <w:p w:rsidR="00D65C8E" w:rsidRPr="00D65C8E" w:rsidRDefault="00D65C8E" w:rsidP="007C0D44">
            <w:pPr>
              <w:rPr>
                <w:rFonts w:ascii="Calibri" w:hAnsi="Calibri" w:cs="Calibri"/>
                <w:color w:val="595959"/>
                <w:sz w:val="22"/>
                <w:szCs w:val="22"/>
              </w:rPr>
            </w:pPr>
            <w:r w:rsidRPr="00D65C8E">
              <w:rPr>
                <w:rFonts w:ascii="Calibri" w:hAnsi="Calibri" w:cs="Calibri"/>
                <w:color w:val="595959"/>
                <w:sz w:val="22"/>
                <w:szCs w:val="22"/>
                <w:lang w:val="en-US"/>
              </w:rPr>
              <w:t>Fleet Motor Insurance</w:t>
            </w:r>
          </w:p>
        </w:tc>
        <w:tc>
          <w:tcPr>
            <w:tcW w:w="1240" w:type="dxa"/>
            <w:hideMark/>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595959"/>
                <w:sz w:val="22"/>
                <w:szCs w:val="22"/>
              </w:rPr>
            </w:pPr>
            <w:r w:rsidRPr="00D65C8E">
              <w:rPr>
                <w:rFonts w:ascii="Calibri" w:hAnsi="Calibri" w:cs="Calibri"/>
                <w:color w:val="595959"/>
                <w:sz w:val="22"/>
                <w:szCs w:val="22"/>
                <w:lang w:val="en-US"/>
              </w:rPr>
              <w:t>10.77</w:t>
            </w:r>
          </w:p>
        </w:tc>
        <w:tc>
          <w:tcPr>
            <w:tcW w:w="1240" w:type="dxa"/>
            <w:hideMark/>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595959"/>
                <w:sz w:val="22"/>
                <w:szCs w:val="22"/>
              </w:rPr>
            </w:pPr>
            <w:r w:rsidRPr="00D65C8E">
              <w:rPr>
                <w:rFonts w:ascii="Calibri" w:hAnsi="Calibri" w:cs="Calibri"/>
                <w:color w:val="595959"/>
                <w:sz w:val="22"/>
                <w:szCs w:val="22"/>
                <w:lang w:val="en-US"/>
              </w:rPr>
              <w:t>7.05</w:t>
            </w:r>
          </w:p>
        </w:tc>
        <w:tc>
          <w:tcPr>
            <w:tcW w:w="1240" w:type="dxa"/>
            <w:hideMark/>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595959"/>
                <w:sz w:val="22"/>
                <w:szCs w:val="22"/>
              </w:rPr>
            </w:pPr>
            <w:r w:rsidRPr="00D65C8E">
              <w:rPr>
                <w:rFonts w:ascii="Calibri" w:hAnsi="Calibri" w:cs="Calibri"/>
                <w:color w:val="595959"/>
                <w:sz w:val="22"/>
                <w:szCs w:val="22"/>
                <w:lang w:val="en-US"/>
              </w:rPr>
              <w:t>5.52</w:t>
            </w:r>
          </w:p>
        </w:tc>
      </w:tr>
      <w:tr w:rsidR="00D65C8E" w:rsidRPr="00D65C8E" w:rsidTr="007C0D44">
        <w:trPr>
          <w:trHeight w:val="58"/>
          <w:jc w:val="center"/>
        </w:trPr>
        <w:tc>
          <w:tcPr>
            <w:cnfStyle w:val="001000000000" w:firstRow="0" w:lastRow="0" w:firstColumn="1" w:lastColumn="0" w:oddVBand="0" w:evenVBand="0" w:oddHBand="0" w:evenHBand="0" w:firstRowFirstColumn="0" w:firstRowLastColumn="0" w:lastRowFirstColumn="0" w:lastRowLastColumn="0"/>
            <w:tcW w:w="3177" w:type="dxa"/>
            <w:hideMark/>
          </w:tcPr>
          <w:p w:rsidR="00D65C8E" w:rsidRPr="00D65C8E" w:rsidRDefault="00D65C8E" w:rsidP="007C0D44">
            <w:pPr>
              <w:rPr>
                <w:rFonts w:ascii="Calibri" w:hAnsi="Calibri" w:cs="Calibri"/>
                <w:color w:val="595959"/>
                <w:sz w:val="22"/>
                <w:szCs w:val="22"/>
              </w:rPr>
            </w:pPr>
            <w:r w:rsidRPr="00D65C8E">
              <w:rPr>
                <w:rFonts w:ascii="Calibri" w:hAnsi="Calibri" w:cs="Calibri"/>
                <w:color w:val="595959"/>
                <w:sz w:val="22"/>
                <w:szCs w:val="22"/>
                <w:lang w:val="en-US"/>
              </w:rPr>
              <w:t>Project Third Party Liability</w:t>
            </w:r>
          </w:p>
        </w:tc>
        <w:tc>
          <w:tcPr>
            <w:tcW w:w="1240" w:type="dxa"/>
            <w:hideMark/>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595959"/>
                <w:sz w:val="22"/>
                <w:szCs w:val="22"/>
              </w:rPr>
            </w:pPr>
            <w:r w:rsidRPr="00D65C8E">
              <w:rPr>
                <w:rFonts w:ascii="Calibri" w:hAnsi="Calibri" w:cs="Calibri"/>
                <w:color w:val="595959"/>
                <w:sz w:val="22"/>
                <w:szCs w:val="22"/>
                <w:lang w:val="en-US"/>
              </w:rPr>
              <w:t>0</w:t>
            </w:r>
          </w:p>
        </w:tc>
        <w:tc>
          <w:tcPr>
            <w:tcW w:w="1240" w:type="dxa"/>
            <w:hideMark/>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595959"/>
                <w:sz w:val="22"/>
                <w:szCs w:val="22"/>
              </w:rPr>
            </w:pPr>
            <w:r w:rsidRPr="00D65C8E">
              <w:rPr>
                <w:rFonts w:ascii="Calibri" w:hAnsi="Calibri" w:cs="Calibri"/>
                <w:color w:val="595959"/>
                <w:sz w:val="22"/>
                <w:szCs w:val="22"/>
                <w:lang w:val="en-US"/>
              </w:rPr>
              <w:t>3.47</w:t>
            </w:r>
          </w:p>
        </w:tc>
        <w:tc>
          <w:tcPr>
            <w:tcW w:w="1240" w:type="dxa"/>
            <w:hideMark/>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595959"/>
                <w:sz w:val="22"/>
                <w:szCs w:val="22"/>
              </w:rPr>
            </w:pPr>
            <w:r w:rsidRPr="00D65C8E">
              <w:rPr>
                <w:rFonts w:ascii="Calibri" w:hAnsi="Calibri" w:cs="Calibri"/>
                <w:color w:val="595959"/>
                <w:sz w:val="22"/>
                <w:szCs w:val="22"/>
                <w:lang w:val="en-US"/>
              </w:rPr>
              <w:t>4.39</w:t>
            </w:r>
          </w:p>
        </w:tc>
      </w:tr>
      <w:tr w:rsidR="00D65C8E" w:rsidRPr="00D65C8E" w:rsidTr="007C0D44">
        <w:trPr>
          <w:trHeight w:val="58"/>
          <w:jc w:val="center"/>
        </w:trPr>
        <w:tc>
          <w:tcPr>
            <w:cnfStyle w:val="001000000000" w:firstRow="0" w:lastRow="0" w:firstColumn="1" w:lastColumn="0" w:oddVBand="0" w:evenVBand="0" w:oddHBand="0" w:evenHBand="0" w:firstRowFirstColumn="0" w:firstRowLastColumn="0" w:lastRowFirstColumn="0" w:lastRowLastColumn="0"/>
            <w:tcW w:w="3177" w:type="dxa"/>
            <w:hideMark/>
          </w:tcPr>
          <w:p w:rsidR="00D65C8E" w:rsidRPr="00D65C8E" w:rsidRDefault="00D65C8E" w:rsidP="007C0D44">
            <w:pPr>
              <w:rPr>
                <w:rFonts w:ascii="Calibri" w:hAnsi="Calibri" w:cs="Calibri"/>
                <w:color w:val="595959"/>
                <w:sz w:val="22"/>
                <w:szCs w:val="22"/>
              </w:rPr>
            </w:pPr>
            <w:r w:rsidRPr="00D65C8E">
              <w:rPr>
                <w:rFonts w:ascii="Calibri" w:hAnsi="Calibri" w:cs="Calibri"/>
                <w:color w:val="595959"/>
                <w:sz w:val="22"/>
                <w:szCs w:val="22"/>
                <w:lang w:val="en-US"/>
              </w:rPr>
              <w:t>Aviation</w:t>
            </w:r>
          </w:p>
        </w:tc>
        <w:tc>
          <w:tcPr>
            <w:tcW w:w="1240" w:type="dxa"/>
            <w:hideMark/>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595959"/>
                <w:sz w:val="22"/>
                <w:szCs w:val="22"/>
              </w:rPr>
            </w:pPr>
            <w:r w:rsidRPr="00D65C8E">
              <w:rPr>
                <w:rFonts w:ascii="Calibri" w:hAnsi="Calibri" w:cs="Calibri"/>
                <w:color w:val="595959"/>
                <w:sz w:val="22"/>
                <w:szCs w:val="22"/>
                <w:lang w:val="en-US"/>
              </w:rPr>
              <w:t>0</w:t>
            </w:r>
          </w:p>
        </w:tc>
        <w:tc>
          <w:tcPr>
            <w:tcW w:w="1240" w:type="dxa"/>
            <w:hideMark/>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595959"/>
                <w:sz w:val="22"/>
                <w:szCs w:val="22"/>
              </w:rPr>
            </w:pPr>
            <w:r w:rsidRPr="00D65C8E">
              <w:rPr>
                <w:rFonts w:ascii="Calibri" w:hAnsi="Calibri" w:cs="Calibri"/>
                <w:color w:val="595959"/>
                <w:sz w:val="22"/>
                <w:szCs w:val="22"/>
                <w:lang w:val="en-US"/>
              </w:rPr>
              <w:t>0.12</w:t>
            </w:r>
          </w:p>
        </w:tc>
        <w:tc>
          <w:tcPr>
            <w:tcW w:w="1240" w:type="dxa"/>
            <w:hideMark/>
          </w:tcPr>
          <w:p w:rsidR="00D65C8E" w:rsidRPr="00D65C8E" w:rsidRDefault="00D65C8E" w:rsidP="007C0D4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595959"/>
                <w:sz w:val="22"/>
                <w:szCs w:val="22"/>
              </w:rPr>
            </w:pPr>
            <w:r w:rsidRPr="00D65C8E">
              <w:rPr>
                <w:rFonts w:ascii="Calibri" w:hAnsi="Calibri" w:cs="Calibri"/>
                <w:color w:val="595959"/>
                <w:sz w:val="22"/>
                <w:szCs w:val="22"/>
                <w:lang w:val="en-US"/>
              </w:rPr>
              <w:t>0.76</w:t>
            </w:r>
          </w:p>
        </w:tc>
      </w:tr>
    </w:tbl>
    <w:p w:rsidR="00D65C8E" w:rsidRDefault="00D65C8E" w:rsidP="00D65C8E">
      <w:pPr>
        <w:pStyle w:val="NoSpacing"/>
      </w:pPr>
    </w:p>
    <w:p w:rsidR="007B5105" w:rsidRPr="00FE3786" w:rsidRDefault="00C334E6" w:rsidP="007A33FF">
      <w:pPr>
        <w:pStyle w:val="NoSpacing"/>
        <w:jc w:val="both"/>
        <w:rPr>
          <w:rFonts w:cstheme="minorHAnsi"/>
          <w:sz w:val="24"/>
        </w:rPr>
      </w:pPr>
      <w:r w:rsidRPr="00FE3786">
        <w:rPr>
          <w:rFonts w:cstheme="minorHAnsi"/>
          <w:sz w:val="24"/>
        </w:rPr>
        <w:t xml:space="preserve">At present, there </w:t>
      </w:r>
      <w:r w:rsidR="007B5105" w:rsidRPr="00FE3786">
        <w:rPr>
          <w:rFonts w:cstheme="minorHAnsi"/>
          <w:sz w:val="24"/>
        </w:rPr>
        <w:t xml:space="preserve">is no local reinsurance company </w:t>
      </w:r>
      <w:r w:rsidRPr="00FE3786">
        <w:rPr>
          <w:rFonts w:cstheme="minorHAnsi"/>
          <w:sz w:val="24"/>
        </w:rPr>
        <w:t xml:space="preserve">domiciled </w:t>
      </w:r>
      <w:r w:rsidR="007B5105" w:rsidRPr="00FE3786">
        <w:rPr>
          <w:rFonts w:cstheme="minorHAnsi"/>
          <w:sz w:val="24"/>
        </w:rPr>
        <w:t>in Afghanistan</w:t>
      </w:r>
      <w:r w:rsidRPr="00FE3786">
        <w:rPr>
          <w:rFonts w:cstheme="minorHAnsi"/>
          <w:sz w:val="24"/>
        </w:rPr>
        <w:t xml:space="preserve">.  It has been observed that </w:t>
      </w:r>
      <w:r w:rsidR="00D65C8E">
        <w:rPr>
          <w:rFonts w:cstheme="minorHAnsi"/>
          <w:sz w:val="24"/>
        </w:rPr>
        <w:t xml:space="preserve">a significant portion </w:t>
      </w:r>
      <w:r w:rsidR="00FC373C" w:rsidRPr="00FE3786">
        <w:rPr>
          <w:rFonts w:cstheme="minorHAnsi"/>
          <w:sz w:val="24"/>
        </w:rPr>
        <w:t xml:space="preserve">of the gross </w:t>
      </w:r>
      <w:r w:rsidRPr="00FE3786">
        <w:rPr>
          <w:rFonts w:cstheme="minorHAnsi"/>
          <w:sz w:val="24"/>
        </w:rPr>
        <w:t xml:space="preserve">written </w:t>
      </w:r>
      <w:r w:rsidR="00FC373C" w:rsidRPr="00FE3786">
        <w:rPr>
          <w:rFonts w:cstheme="minorHAnsi"/>
          <w:sz w:val="24"/>
        </w:rPr>
        <w:t>premium</w:t>
      </w:r>
      <w:r w:rsidR="00FD188B" w:rsidRPr="00FE3786">
        <w:rPr>
          <w:rFonts w:cstheme="minorHAnsi"/>
          <w:sz w:val="24"/>
        </w:rPr>
        <w:t xml:space="preserve"> </w:t>
      </w:r>
      <w:r w:rsidR="007B5105" w:rsidRPr="00FE3786">
        <w:rPr>
          <w:rFonts w:cstheme="minorHAnsi"/>
          <w:sz w:val="24"/>
        </w:rPr>
        <w:t xml:space="preserve">is </w:t>
      </w:r>
      <w:r w:rsidR="00FC373C" w:rsidRPr="00FE3786">
        <w:rPr>
          <w:rFonts w:cstheme="minorHAnsi"/>
          <w:sz w:val="24"/>
        </w:rPr>
        <w:t>ceded to foreign reinsurers</w:t>
      </w:r>
      <w:r w:rsidR="007B5105" w:rsidRPr="00FE3786">
        <w:rPr>
          <w:rFonts w:cstheme="minorHAnsi"/>
          <w:sz w:val="24"/>
        </w:rPr>
        <w:t>, while</w:t>
      </w:r>
      <w:r w:rsidR="00FC373C" w:rsidRPr="00FE3786">
        <w:rPr>
          <w:rFonts w:cstheme="minorHAnsi"/>
          <w:sz w:val="24"/>
        </w:rPr>
        <w:t xml:space="preserve"> only a small percentage of premium</w:t>
      </w:r>
      <w:r w:rsidR="00780D27">
        <w:rPr>
          <w:rFonts w:cstheme="minorHAnsi"/>
          <w:sz w:val="24"/>
        </w:rPr>
        <w:t>s i</w:t>
      </w:r>
      <w:r w:rsidR="00FC373C" w:rsidRPr="00FE3786">
        <w:rPr>
          <w:rFonts w:cstheme="minorHAnsi"/>
          <w:sz w:val="24"/>
        </w:rPr>
        <w:t>s retained in the country</w:t>
      </w:r>
      <w:r w:rsidR="00780D27">
        <w:rPr>
          <w:rFonts w:cstheme="minorHAnsi"/>
          <w:sz w:val="24"/>
        </w:rPr>
        <w:t>,</w:t>
      </w:r>
      <w:r w:rsidR="007B5105" w:rsidRPr="00FE3786">
        <w:rPr>
          <w:rFonts w:cstheme="minorHAnsi"/>
          <w:sz w:val="24"/>
        </w:rPr>
        <w:t xml:space="preserve"> owing to the limited financial and risk capacity of insurance companies</w:t>
      </w:r>
      <w:r w:rsidR="00FC373C" w:rsidRPr="00FE3786">
        <w:rPr>
          <w:rFonts w:cstheme="minorHAnsi"/>
          <w:sz w:val="24"/>
        </w:rPr>
        <w:t xml:space="preserve">. </w:t>
      </w:r>
      <w:r w:rsidR="007B5105" w:rsidRPr="00FE3786">
        <w:rPr>
          <w:rFonts w:cstheme="minorHAnsi"/>
          <w:sz w:val="24"/>
        </w:rPr>
        <w:t xml:space="preserve"> </w:t>
      </w:r>
    </w:p>
    <w:p w:rsidR="00FD188B" w:rsidRPr="00FE3786" w:rsidRDefault="00FD188B" w:rsidP="007A33FF">
      <w:pPr>
        <w:pStyle w:val="NoSpacing"/>
        <w:jc w:val="both"/>
        <w:rPr>
          <w:rFonts w:cstheme="minorHAnsi"/>
          <w:sz w:val="24"/>
        </w:rPr>
      </w:pPr>
    </w:p>
    <w:p w:rsidR="00FD188B" w:rsidRPr="00FE3786" w:rsidRDefault="00FD188B" w:rsidP="007A33FF">
      <w:pPr>
        <w:pStyle w:val="NoSpacing"/>
        <w:jc w:val="both"/>
        <w:rPr>
          <w:rFonts w:cstheme="minorHAnsi"/>
          <w:sz w:val="24"/>
        </w:rPr>
      </w:pPr>
      <w:r w:rsidRPr="00FE3786">
        <w:rPr>
          <w:rFonts w:cstheme="minorHAnsi"/>
          <w:sz w:val="24"/>
        </w:rPr>
        <w:t xml:space="preserve">Up until 2018, the </w:t>
      </w:r>
      <w:r w:rsidR="00FC373C" w:rsidRPr="00FE3786">
        <w:rPr>
          <w:rFonts w:cstheme="minorHAnsi"/>
          <w:sz w:val="24"/>
        </w:rPr>
        <w:t xml:space="preserve">insurance sector </w:t>
      </w:r>
      <w:r w:rsidRPr="00FE3786">
        <w:rPr>
          <w:rFonts w:cstheme="minorHAnsi"/>
          <w:sz w:val="24"/>
        </w:rPr>
        <w:t xml:space="preserve">has </w:t>
      </w:r>
      <w:r w:rsidR="00FC373C" w:rsidRPr="00FE3786">
        <w:rPr>
          <w:rFonts w:cstheme="minorHAnsi"/>
          <w:sz w:val="24"/>
        </w:rPr>
        <w:t xml:space="preserve">mostly </w:t>
      </w:r>
      <w:r w:rsidRPr="00FE3786">
        <w:rPr>
          <w:rFonts w:cstheme="minorHAnsi"/>
          <w:sz w:val="24"/>
        </w:rPr>
        <w:t xml:space="preserve">remained </w:t>
      </w:r>
      <w:r w:rsidR="005B7401" w:rsidRPr="00FE3786">
        <w:rPr>
          <w:rFonts w:cstheme="minorHAnsi"/>
          <w:sz w:val="24"/>
        </w:rPr>
        <w:t xml:space="preserve">concentrated in the </w:t>
      </w:r>
      <w:r w:rsidR="00FC373C" w:rsidRPr="00FE3786">
        <w:rPr>
          <w:rFonts w:cstheme="minorHAnsi"/>
          <w:sz w:val="24"/>
        </w:rPr>
        <w:t xml:space="preserve">central </w:t>
      </w:r>
      <w:r w:rsidR="005B7401" w:rsidRPr="00FE3786">
        <w:rPr>
          <w:rFonts w:cstheme="minorHAnsi"/>
          <w:sz w:val="24"/>
        </w:rPr>
        <w:t xml:space="preserve">parts of </w:t>
      </w:r>
      <w:r w:rsidR="00FC373C" w:rsidRPr="00FE3786">
        <w:rPr>
          <w:rFonts w:cstheme="minorHAnsi"/>
          <w:sz w:val="24"/>
        </w:rPr>
        <w:t>Afghanistan</w:t>
      </w:r>
      <w:r w:rsidR="005B7401" w:rsidRPr="00FE3786">
        <w:rPr>
          <w:rFonts w:cstheme="minorHAnsi"/>
          <w:sz w:val="24"/>
        </w:rPr>
        <w:t xml:space="preserve">, </w:t>
      </w:r>
      <w:r w:rsidRPr="00FE3786">
        <w:rPr>
          <w:rFonts w:cstheme="minorHAnsi"/>
          <w:sz w:val="24"/>
        </w:rPr>
        <w:t xml:space="preserve">amounting to a market share of </w:t>
      </w:r>
      <w:r w:rsidR="00FC373C" w:rsidRPr="00FE3786">
        <w:rPr>
          <w:rFonts w:cstheme="minorHAnsi"/>
          <w:sz w:val="24"/>
        </w:rPr>
        <w:t>approx</w:t>
      </w:r>
      <w:r w:rsidR="005B7401" w:rsidRPr="00FE3786">
        <w:rPr>
          <w:rFonts w:cstheme="minorHAnsi"/>
          <w:sz w:val="24"/>
        </w:rPr>
        <w:t xml:space="preserve">imately </w:t>
      </w:r>
      <w:r w:rsidR="00FC373C" w:rsidRPr="00FE3786">
        <w:rPr>
          <w:rFonts w:cstheme="minorHAnsi"/>
          <w:sz w:val="24"/>
        </w:rPr>
        <w:t>65%</w:t>
      </w:r>
      <w:r w:rsidR="007D3138" w:rsidRPr="00FE3786">
        <w:rPr>
          <w:rFonts w:cstheme="minorHAnsi"/>
          <w:sz w:val="24"/>
        </w:rPr>
        <w:t xml:space="preserve">, </w:t>
      </w:r>
      <w:r w:rsidR="00FC373C" w:rsidRPr="00FE3786">
        <w:rPr>
          <w:rFonts w:cstheme="minorHAnsi"/>
          <w:sz w:val="24"/>
        </w:rPr>
        <w:t>w</w:t>
      </w:r>
      <w:r w:rsidR="005B7401" w:rsidRPr="00FE3786">
        <w:rPr>
          <w:rFonts w:cstheme="minorHAnsi"/>
          <w:sz w:val="24"/>
        </w:rPr>
        <w:t xml:space="preserve">hile there </w:t>
      </w:r>
      <w:r w:rsidRPr="00FE3786">
        <w:rPr>
          <w:rFonts w:cstheme="minorHAnsi"/>
          <w:sz w:val="24"/>
        </w:rPr>
        <w:t xml:space="preserve">has been a </w:t>
      </w:r>
      <w:r w:rsidR="005B7401" w:rsidRPr="00FE3786">
        <w:rPr>
          <w:rFonts w:cstheme="minorHAnsi"/>
          <w:sz w:val="24"/>
        </w:rPr>
        <w:t xml:space="preserve">limited </w:t>
      </w:r>
      <w:r w:rsidRPr="00FE3786">
        <w:rPr>
          <w:rFonts w:cstheme="minorHAnsi"/>
          <w:sz w:val="24"/>
        </w:rPr>
        <w:lastRenderedPageBreak/>
        <w:t>out</w:t>
      </w:r>
      <w:r w:rsidR="00FC373C" w:rsidRPr="00FE3786">
        <w:rPr>
          <w:rFonts w:cstheme="minorHAnsi"/>
          <w:sz w:val="24"/>
        </w:rPr>
        <w:t xml:space="preserve">reach and penetration in </w:t>
      </w:r>
      <w:r w:rsidRPr="00FE3786">
        <w:rPr>
          <w:rFonts w:cstheme="minorHAnsi"/>
          <w:sz w:val="24"/>
        </w:rPr>
        <w:t xml:space="preserve">to other </w:t>
      </w:r>
      <w:r w:rsidR="00FC373C" w:rsidRPr="00FE3786">
        <w:rPr>
          <w:rFonts w:cstheme="minorHAnsi"/>
          <w:sz w:val="24"/>
        </w:rPr>
        <w:t xml:space="preserve">regions. </w:t>
      </w:r>
      <w:r w:rsidR="005B7401" w:rsidRPr="00FE3786">
        <w:rPr>
          <w:rFonts w:cstheme="minorHAnsi"/>
          <w:sz w:val="24"/>
        </w:rPr>
        <w:t xml:space="preserve"> </w:t>
      </w:r>
      <w:r w:rsidR="00FC373C" w:rsidRPr="00FE3786">
        <w:rPr>
          <w:rFonts w:cstheme="minorHAnsi"/>
          <w:sz w:val="24"/>
        </w:rPr>
        <w:t xml:space="preserve">According to the information presented by the GDIA, the insurers have operations across 24 out of 34 provinces. </w:t>
      </w:r>
      <w:r w:rsidR="005B7401" w:rsidRPr="00FE3786">
        <w:rPr>
          <w:rFonts w:cstheme="minorHAnsi"/>
          <w:sz w:val="24"/>
        </w:rPr>
        <w:t xml:space="preserve"> </w:t>
      </w:r>
    </w:p>
    <w:p w:rsidR="00534792" w:rsidRDefault="00534792" w:rsidP="007D3138">
      <w:pPr>
        <w:spacing w:line="360" w:lineRule="auto"/>
        <w:jc w:val="both"/>
        <w:rPr>
          <w:rFonts w:cstheme="minorHAnsi"/>
          <w:b/>
          <w:bCs/>
        </w:rPr>
      </w:pPr>
    </w:p>
    <w:p w:rsidR="00B5798E" w:rsidRPr="007A33FF" w:rsidRDefault="00B5798E" w:rsidP="007A33FF">
      <w:pPr>
        <w:spacing w:line="360" w:lineRule="auto"/>
        <w:jc w:val="center"/>
        <w:rPr>
          <w:rFonts w:asciiTheme="minorHAnsi" w:hAnsiTheme="minorHAnsi" w:cstheme="minorHAnsi"/>
          <w:b/>
          <w:bCs/>
        </w:rPr>
      </w:pPr>
      <w:r>
        <w:rPr>
          <w:noProof/>
          <w:lang w:val="en-US" w:eastAsia="en-US"/>
        </w:rPr>
        <w:drawing>
          <wp:inline distT="0" distB="0" distL="0" distR="0" wp14:anchorId="7A68FF0B" wp14:editId="290D44C8">
            <wp:extent cx="5197929" cy="3107872"/>
            <wp:effectExtent l="0" t="0" r="22225" b="165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5798E" w:rsidRPr="00AC57AF" w:rsidRDefault="004E6C46" w:rsidP="00AC57AF">
      <w:pPr>
        <w:pStyle w:val="Caption"/>
        <w:jc w:val="center"/>
        <w:rPr>
          <w:rFonts w:asciiTheme="majorBidi" w:hAnsiTheme="majorBidi" w:cstheme="majorBidi"/>
        </w:rPr>
      </w:pPr>
      <w:r>
        <w:t xml:space="preserve">Figure </w:t>
      </w:r>
      <w:r>
        <w:fldChar w:fldCharType="begin"/>
      </w:r>
      <w:r>
        <w:instrText xml:space="preserve"> SEQ Figure \* ARABIC </w:instrText>
      </w:r>
      <w:r>
        <w:fldChar w:fldCharType="separate"/>
      </w:r>
      <w:r w:rsidR="00D65C8E">
        <w:rPr>
          <w:noProof/>
        </w:rPr>
        <w:t>4</w:t>
      </w:r>
      <w:r>
        <w:fldChar w:fldCharType="end"/>
      </w:r>
      <w:r>
        <w:t>: Concentration of</w:t>
      </w:r>
      <w:r w:rsidRPr="00ED1E43">
        <w:t xml:space="preserve"> </w:t>
      </w:r>
      <w:r>
        <w:t>policyholders in different regions</w:t>
      </w:r>
    </w:p>
    <w:p w:rsidR="00780D27" w:rsidRDefault="00780D27" w:rsidP="004E6C46">
      <w:pPr>
        <w:pStyle w:val="Caption"/>
        <w:jc w:val="center"/>
      </w:pPr>
    </w:p>
    <w:p w:rsidR="00DF2A30" w:rsidRDefault="004E6C46" w:rsidP="004E6C46">
      <w:pPr>
        <w:pStyle w:val="Caption"/>
        <w:jc w:val="center"/>
      </w:pPr>
      <w:r>
        <w:t xml:space="preserve">Table </w:t>
      </w:r>
      <w:r>
        <w:fldChar w:fldCharType="begin"/>
      </w:r>
      <w:r>
        <w:instrText xml:space="preserve"> SEQ Table \* ARABIC </w:instrText>
      </w:r>
      <w:r>
        <w:fldChar w:fldCharType="separate"/>
      </w:r>
      <w:r w:rsidR="00D65C8E">
        <w:rPr>
          <w:noProof/>
        </w:rPr>
        <w:t>2</w:t>
      </w:r>
      <w:r>
        <w:fldChar w:fldCharType="end"/>
      </w:r>
      <w:r>
        <w:t xml:space="preserve">: </w:t>
      </w:r>
      <w:r w:rsidRPr="00B33CA0">
        <w:t>Number of Insurance Policyholders in Afghanistan</w:t>
      </w:r>
    </w:p>
    <w:tbl>
      <w:tblPr>
        <w:tblStyle w:val="GridTable1Light-Accent51"/>
        <w:tblW w:w="5292" w:type="dxa"/>
        <w:jc w:val="center"/>
        <w:tblLook w:val="04A0" w:firstRow="1" w:lastRow="0" w:firstColumn="1" w:lastColumn="0" w:noHBand="0" w:noVBand="1"/>
      </w:tblPr>
      <w:tblGrid>
        <w:gridCol w:w="1452"/>
        <w:gridCol w:w="960"/>
        <w:gridCol w:w="960"/>
        <w:gridCol w:w="960"/>
        <w:gridCol w:w="960"/>
      </w:tblGrid>
      <w:tr w:rsidR="00B5798E" w:rsidRPr="00B5798E" w:rsidTr="007A33F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52" w:type="dxa"/>
            <w:noWrap/>
            <w:hideMark/>
          </w:tcPr>
          <w:p w:rsidR="00B5798E" w:rsidRPr="00B5798E" w:rsidRDefault="00B5798E" w:rsidP="007A33FF">
            <w:pPr>
              <w:jc w:val="right"/>
              <w:rPr>
                <w:rFonts w:ascii="Calibri" w:hAnsi="Calibri" w:cs="Calibri"/>
                <w:color w:val="000000"/>
              </w:rPr>
            </w:pPr>
          </w:p>
        </w:tc>
        <w:tc>
          <w:tcPr>
            <w:tcW w:w="960" w:type="dxa"/>
            <w:noWrap/>
            <w:hideMark/>
          </w:tcPr>
          <w:p w:rsidR="00B5798E" w:rsidRPr="00B5798E" w:rsidRDefault="00DF0740" w:rsidP="00B5798E">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2016</w:t>
            </w:r>
          </w:p>
        </w:tc>
        <w:tc>
          <w:tcPr>
            <w:tcW w:w="960" w:type="dxa"/>
            <w:noWrap/>
            <w:hideMark/>
          </w:tcPr>
          <w:p w:rsidR="00B5798E" w:rsidRPr="00B5798E" w:rsidRDefault="00DF0740" w:rsidP="00B5798E">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2017</w:t>
            </w:r>
          </w:p>
        </w:tc>
        <w:tc>
          <w:tcPr>
            <w:tcW w:w="960" w:type="dxa"/>
            <w:noWrap/>
            <w:hideMark/>
          </w:tcPr>
          <w:p w:rsidR="00B5798E" w:rsidRPr="00B5798E" w:rsidRDefault="00DF0740" w:rsidP="00B5798E">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2018</w:t>
            </w:r>
          </w:p>
        </w:tc>
        <w:tc>
          <w:tcPr>
            <w:tcW w:w="960" w:type="dxa"/>
            <w:noWrap/>
            <w:hideMark/>
          </w:tcPr>
          <w:p w:rsidR="00B5798E" w:rsidRPr="00B5798E" w:rsidRDefault="00DF0740" w:rsidP="00B5798E">
            <w:pPr>
              <w:jc w:val="right"/>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2019</w:t>
            </w:r>
          </w:p>
        </w:tc>
      </w:tr>
      <w:tr w:rsidR="00953EF3" w:rsidRPr="00B5798E" w:rsidTr="00B5798E">
        <w:trPr>
          <w:trHeight w:val="288"/>
          <w:jc w:val="center"/>
        </w:trPr>
        <w:tc>
          <w:tcPr>
            <w:cnfStyle w:val="001000000000" w:firstRow="0" w:lastRow="0" w:firstColumn="1" w:lastColumn="0" w:oddVBand="0" w:evenVBand="0" w:oddHBand="0" w:evenHBand="0" w:firstRowFirstColumn="0" w:firstRowLastColumn="0" w:lastRowFirstColumn="0" w:lastRowLastColumn="0"/>
            <w:tcW w:w="1452" w:type="dxa"/>
            <w:tcBorders>
              <w:bottom w:val="single" w:sz="12" w:space="0" w:color="92CDDC" w:themeColor="accent5" w:themeTint="99"/>
            </w:tcBorders>
            <w:noWrap/>
          </w:tcPr>
          <w:p w:rsidR="00953EF3" w:rsidRPr="00953EF3" w:rsidRDefault="00953EF3" w:rsidP="00B5798E">
            <w:pPr>
              <w:rPr>
                <w:rFonts w:ascii="Calibri" w:hAnsi="Calibri" w:cs="Calibri"/>
                <w:color w:val="000000"/>
              </w:rPr>
            </w:pPr>
            <w:r w:rsidRPr="00953EF3">
              <w:rPr>
                <w:rFonts w:ascii="Calibri" w:hAnsi="Calibri" w:cs="Calibri"/>
                <w:color w:val="000000"/>
              </w:rPr>
              <w:t>Regions</w:t>
            </w:r>
          </w:p>
        </w:tc>
        <w:tc>
          <w:tcPr>
            <w:tcW w:w="960" w:type="dxa"/>
            <w:tcBorders>
              <w:bottom w:val="single" w:sz="12" w:space="0" w:color="92CDDC" w:themeColor="accent5" w:themeTint="99"/>
            </w:tcBorders>
            <w:noWrap/>
          </w:tcPr>
          <w:p w:rsidR="00953EF3" w:rsidRPr="00B5798E" w:rsidRDefault="00953EF3" w:rsidP="00B5798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960" w:type="dxa"/>
            <w:tcBorders>
              <w:bottom w:val="single" w:sz="12" w:space="0" w:color="92CDDC" w:themeColor="accent5" w:themeTint="99"/>
            </w:tcBorders>
            <w:noWrap/>
          </w:tcPr>
          <w:p w:rsidR="00953EF3" w:rsidRPr="00B5798E" w:rsidRDefault="00953EF3" w:rsidP="00B5798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960" w:type="dxa"/>
            <w:tcBorders>
              <w:bottom w:val="single" w:sz="12" w:space="0" w:color="92CDDC" w:themeColor="accent5" w:themeTint="99"/>
            </w:tcBorders>
            <w:noWrap/>
          </w:tcPr>
          <w:p w:rsidR="00953EF3" w:rsidRPr="00B5798E" w:rsidRDefault="00953EF3" w:rsidP="00B5798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960" w:type="dxa"/>
            <w:tcBorders>
              <w:bottom w:val="single" w:sz="12" w:space="0" w:color="92CDDC" w:themeColor="accent5" w:themeTint="99"/>
            </w:tcBorders>
            <w:noWrap/>
          </w:tcPr>
          <w:p w:rsidR="00953EF3" w:rsidRPr="00B5798E" w:rsidRDefault="00953EF3" w:rsidP="00B5798E">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780D27" w:rsidRPr="00B5798E" w:rsidTr="00780D27">
        <w:trPr>
          <w:trHeight w:val="288"/>
          <w:jc w:val="center"/>
        </w:trPr>
        <w:tc>
          <w:tcPr>
            <w:cnfStyle w:val="001000000000" w:firstRow="0" w:lastRow="0" w:firstColumn="1" w:lastColumn="0" w:oddVBand="0" w:evenVBand="0" w:oddHBand="0" w:evenHBand="0" w:firstRowFirstColumn="0" w:firstRowLastColumn="0" w:lastRowFirstColumn="0" w:lastRowLastColumn="0"/>
            <w:tcW w:w="1452" w:type="dxa"/>
            <w:noWrap/>
            <w:hideMark/>
          </w:tcPr>
          <w:p w:rsidR="00780D27" w:rsidRPr="007A33FF" w:rsidRDefault="00780D27" w:rsidP="00B5798E">
            <w:pPr>
              <w:rPr>
                <w:rFonts w:ascii="Calibri" w:hAnsi="Calibri" w:cs="Calibri"/>
                <w:b w:val="0"/>
                <w:color w:val="000000"/>
              </w:rPr>
            </w:pPr>
            <w:r w:rsidRPr="00953EF3">
              <w:rPr>
                <w:rFonts w:ascii="Calibri" w:hAnsi="Calibri" w:cs="Calibri"/>
                <w:color w:val="000000"/>
              </w:rPr>
              <w:t>Centre</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397</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474</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564</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19,043</w:t>
            </w:r>
          </w:p>
        </w:tc>
      </w:tr>
      <w:tr w:rsidR="00780D27" w:rsidRPr="00B5798E" w:rsidTr="00780D27">
        <w:trPr>
          <w:trHeight w:val="288"/>
          <w:jc w:val="center"/>
        </w:trPr>
        <w:tc>
          <w:tcPr>
            <w:cnfStyle w:val="001000000000" w:firstRow="0" w:lastRow="0" w:firstColumn="1" w:lastColumn="0" w:oddVBand="0" w:evenVBand="0" w:oddHBand="0" w:evenHBand="0" w:firstRowFirstColumn="0" w:firstRowLastColumn="0" w:lastRowFirstColumn="0" w:lastRowLastColumn="0"/>
            <w:tcW w:w="1452" w:type="dxa"/>
            <w:noWrap/>
            <w:hideMark/>
          </w:tcPr>
          <w:p w:rsidR="00780D27" w:rsidRPr="007A33FF" w:rsidRDefault="00780D27" w:rsidP="00B5798E">
            <w:pPr>
              <w:rPr>
                <w:rFonts w:ascii="Calibri" w:hAnsi="Calibri" w:cs="Calibri"/>
                <w:b w:val="0"/>
                <w:color w:val="000000"/>
              </w:rPr>
            </w:pPr>
            <w:r w:rsidRPr="00953EF3">
              <w:rPr>
                <w:rFonts w:ascii="Calibri" w:hAnsi="Calibri" w:cs="Calibri"/>
                <w:color w:val="000000"/>
              </w:rPr>
              <w:t>North</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4,560</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1,673</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5,392</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4,422</w:t>
            </w:r>
          </w:p>
        </w:tc>
      </w:tr>
      <w:tr w:rsidR="00780D27" w:rsidRPr="00B5798E" w:rsidTr="00780D27">
        <w:trPr>
          <w:trHeight w:val="288"/>
          <w:jc w:val="center"/>
        </w:trPr>
        <w:tc>
          <w:tcPr>
            <w:cnfStyle w:val="001000000000" w:firstRow="0" w:lastRow="0" w:firstColumn="1" w:lastColumn="0" w:oddVBand="0" w:evenVBand="0" w:oddHBand="0" w:evenHBand="0" w:firstRowFirstColumn="0" w:firstRowLastColumn="0" w:lastRowFirstColumn="0" w:lastRowLastColumn="0"/>
            <w:tcW w:w="1452" w:type="dxa"/>
            <w:noWrap/>
            <w:hideMark/>
          </w:tcPr>
          <w:p w:rsidR="00780D27" w:rsidRPr="007A33FF" w:rsidRDefault="00780D27" w:rsidP="00B5798E">
            <w:pPr>
              <w:rPr>
                <w:rFonts w:ascii="Calibri" w:hAnsi="Calibri" w:cs="Calibri"/>
                <w:b w:val="0"/>
                <w:color w:val="000000"/>
              </w:rPr>
            </w:pPr>
            <w:r w:rsidRPr="00953EF3">
              <w:rPr>
                <w:rFonts w:ascii="Calibri" w:hAnsi="Calibri" w:cs="Calibri"/>
                <w:color w:val="000000"/>
              </w:rPr>
              <w:t>South</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141</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39</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3,325</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426</w:t>
            </w:r>
          </w:p>
        </w:tc>
      </w:tr>
      <w:tr w:rsidR="00780D27" w:rsidRPr="00B5798E" w:rsidTr="00780D27">
        <w:trPr>
          <w:trHeight w:val="288"/>
          <w:jc w:val="center"/>
        </w:trPr>
        <w:tc>
          <w:tcPr>
            <w:cnfStyle w:val="001000000000" w:firstRow="0" w:lastRow="0" w:firstColumn="1" w:lastColumn="0" w:oddVBand="0" w:evenVBand="0" w:oddHBand="0" w:evenHBand="0" w:firstRowFirstColumn="0" w:firstRowLastColumn="0" w:lastRowFirstColumn="0" w:lastRowLastColumn="0"/>
            <w:tcW w:w="1452" w:type="dxa"/>
            <w:noWrap/>
            <w:hideMark/>
          </w:tcPr>
          <w:p w:rsidR="00780D27" w:rsidRPr="007A33FF" w:rsidRDefault="00780D27" w:rsidP="00B5798E">
            <w:pPr>
              <w:rPr>
                <w:rFonts w:ascii="Calibri" w:hAnsi="Calibri" w:cs="Calibri"/>
                <w:b w:val="0"/>
                <w:color w:val="000000"/>
              </w:rPr>
            </w:pPr>
            <w:r w:rsidRPr="00953EF3">
              <w:rPr>
                <w:rFonts w:ascii="Calibri" w:hAnsi="Calibri" w:cs="Calibri"/>
                <w:color w:val="000000"/>
              </w:rPr>
              <w:t>East</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1,181</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3,222</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3,126</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5,183</w:t>
            </w:r>
          </w:p>
        </w:tc>
      </w:tr>
      <w:tr w:rsidR="00780D27" w:rsidRPr="00B5798E" w:rsidTr="00780D27">
        <w:trPr>
          <w:trHeight w:val="288"/>
          <w:jc w:val="center"/>
        </w:trPr>
        <w:tc>
          <w:tcPr>
            <w:cnfStyle w:val="001000000000" w:firstRow="0" w:lastRow="0" w:firstColumn="1" w:lastColumn="0" w:oddVBand="0" w:evenVBand="0" w:oddHBand="0" w:evenHBand="0" w:firstRowFirstColumn="0" w:firstRowLastColumn="0" w:lastRowFirstColumn="0" w:lastRowLastColumn="0"/>
            <w:tcW w:w="1452" w:type="dxa"/>
            <w:noWrap/>
            <w:hideMark/>
          </w:tcPr>
          <w:p w:rsidR="00780D27" w:rsidRPr="007A33FF" w:rsidRDefault="00780D27" w:rsidP="00B5798E">
            <w:pPr>
              <w:rPr>
                <w:rFonts w:ascii="Calibri" w:hAnsi="Calibri" w:cs="Calibri"/>
                <w:b w:val="0"/>
                <w:color w:val="000000"/>
              </w:rPr>
            </w:pPr>
            <w:r w:rsidRPr="00953EF3">
              <w:rPr>
                <w:rFonts w:ascii="Calibri" w:hAnsi="Calibri" w:cs="Calibri"/>
                <w:color w:val="000000"/>
              </w:rPr>
              <w:t>West</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622</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23,093</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6,863</w:t>
            </w:r>
          </w:p>
        </w:tc>
        <w:tc>
          <w:tcPr>
            <w:tcW w:w="960" w:type="dxa"/>
            <w:noWrap/>
            <w:vAlign w:val="center"/>
            <w:hideMark/>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8,143</w:t>
            </w:r>
          </w:p>
        </w:tc>
      </w:tr>
      <w:tr w:rsidR="00780D27" w:rsidRPr="00B5798E" w:rsidTr="00780D27">
        <w:trPr>
          <w:trHeight w:val="288"/>
          <w:jc w:val="center"/>
        </w:trPr>
        <w:tc>
          <w:tcPr>
            <w:cnfStyle w:val="001000000000" w:firstRow="0" w:lastRow="0" w:firstColumn="1" w:lastColumn="0" w:oddVBand="0" w:evenVBand="0" w:oddHBand="0" w:evenHBand="0" w:firstRowFirstColumn="0" w:firstRowLastColumn="0" w:lastRowFirstColumn="0" w:lastRowLastColumn="0"/>
            <w:tcW w:w="1452" w:type="dxa"/>
            <w:noWrap/>
          </w:tcPr>
          <w:p w:rsidR="00780D27" w:rsidRPr="00B5798E" w:rsidRDefault="00780D27" w:rsidP="00B5798E">
            <w:pPr>
              <w:rPr>
                <w:rFonts w:ascii="Calibri" w:hAnsi="Calibri" w:cs="Calibri"/>
                <w:color w:val="000000"/>
              </w:rPr>
            </w:pPr>
          </w:p>
        </w:tc>
        <w:tc>
          <w:tcPr>
            <w:tcW w:w="960" w:type="dxa"/>
            <w:noWrap/>
            <w:vAlign w:val="center"/>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p>
        </w:tc>
        <w:tc>
          <w:tcPr>
            <w:tcW w:w="960" w:type="dxa"/>
            <w:noWrap/>
            <w:vAlign w:val="center"/>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p>
        </w:tc>
        <w:tc>
          <w:tcPr>
            <w:tcW w:w="960" w:type="dxa"/>
            <w:noWrap/>
            <w:vAlign w:val="center"/>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p>
        </w:tc>
        <w:tc>
          <w:tcPr>
            <w:tcW w:w="960" w:type="dxa"/>
            <w:noWrap/>
            <w:vAlign w:val="center"/>
          </w:tcPr>
          <w:p w:rsidR="00780D27" w:rsidRPr="00B5798E"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p>
        </w:tc>
      </w:tr>
      <w:tr w:rsidR="00780D27" w:rsidRPr="00B5798E" w:rsidTr="00780D27">
        <w:trPr>
          <w:trHeight w:val="288"/>
          <w:jc w:val="center"/>
        </w:trPr>
        <w:tc>
          <w:tcPr>
            <w:cnfStyle w:val="001000000000" w:firstRow="0" w:lastRow="0" w:firstColumn="1" w:lastColumn="0" w:oddVBand="0" w:evenVBand="0" w:oddHBand="0" w:evenHBand="0" w:firstRowFirstColumn="0" w:firstRowLastColumn="0" w:lastRowFirstColumn="0" w:lastRowLastColumn="0"/>
            <w:tcW w:w="1452" w:type="dxa"/>
            <w:noWrap/>
          </w:tcPr>
          <w:p w:rsidR="00780D27" w:rsidRPr="00B5798E" w:rsidRDefault="00780D27" w:rsidP="00B5798E">
            <w:pPr>
              <w:rPr>
                <w:rFonts w:ascii="Calibri" w:hAnsi="Calibri" w:cs="Calibri"/>
                <w:color w:val="000000"/>
              </w:rPr>
            </w:pPr>
            <w:r>
              <w:rPr>
                <w:rFonts w:ascii="Calibri" w:hAnsi="Calibri" w:cs="Calibri"/>
                <w:color w:val="000000"/>
              </w:rPr>
              <w:t>Total</w:t>
            </w:r>
          </w:p>
        </w:tc>
        <w:tc>
          <w:tcPr>
            <w:tcW w:w="960" w:type="dxa"/>
            <w:noWrap/>
            <w:vAlign w:val="center"/>
          </w:tcPr>
          <w:p w:rsidR="00780D27" w:rsidRPr="00780D27"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rPr>
                <w:b/>
              </w:rPr>
            </w:pPr>
            <w:r w:rsidRPr="00780D27">
              <w:rPr>
                <w:b/>
              </w:rPr>
              <w:t>6,901</w:t>
            </w:r>
          </w:p>
        </w:tc>
        <w:tc>
          <w:tcPr>
            <w:tcW w:w="960" w:type="dxa"/>
            <w:noWrap/>
            <w:vAlign w:val="center"/>
          </w:tcPr>
          <w:p w:rsidR="00780D27" w:rsidRPr="00780D27"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rPr>
                <w:b/>
              </w:rPr>
            </w:pPr>
            <w:r w:rsidRPr="00780D27">
              <w:rPr>
                <w:b/>
              </w:rPr>
              <w:t>28,501</w:t>
            </w:r>
          </w:p>
        </w:tc>
        <w:tc>
          <w:tcPr>
            <w:tcW w:w="960" w:type="dxa"/>
            <w:noWrap/>
            <w:vAlign w:val="center"/>
          </w:tcPr>
          <w:p w:rsidR="00780D27" w:rsidRPr="00780D27"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rPr>
                <w:b/>
              </w:rPr>
            </w:pPr>
            <w:r w:rsidRPr="00780D27">
              <w:rPr>
                <w:b/>
              </w:rPr>
              <w:t>19,270</w:t>
            </w:r>
          </w:p>
        </w:tc>
        <w:tc>
          <w:tcPr>
            <w:tcW w:w="960" w:type="dxa"/>
            <w:noWrap/>
            <w:vAlign w:val="center"/>
          </w:tcPr>
          <w:p w:rsidR="00780D27" w:rsidRPr="00780D27"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rPr>
                <w:b/>
              </w:rPr>
            </w:pPr>
            <w:r w:rsidRPr="00780D27">
              <w:rPr>
                <w:b/>
              </w:rPr>
              <w:t>37,217</w:t>
            </w:r>
          </w:p>
        </w:tc>
      </w:tr>
      <w:tr w:rsidR="00780D27" w:rsidRPr="00B5798E" w:rsidTr="00780D27">
        <w:trPr>
          <w:trHeight w:val="288"/>
          <w:jc w:val="center"/>
        </w:trPr>
        <w:tc>
          <w:tcPr>
            <w:cnfStyle w:val="001000000000" w:firstRow="0" w:lastRow="0" w:firstColumn="1" w:lastColumn="0" w:oddVBand="0" w:evenVBand="0" w:oddHBand="0" w:evenHBand="0" w:firstRowFirstColumn="0" w:firstRowLastColumn="0" w:lastRowFirstColumn="0" w:lastRowLastColumn="0"/>
            <w:tcW w:w="1452" w:type="dxa"/>
            <w:noWrap/>
          </w:tcPr>
          <w:p w:rsidR="00780D27" w:rsidRPr="007A33FF" w:rsidRDefault="00780D27" w:rsidP="00B5798E">
            <w:pPr>
              <w:rPr>
                <w:rFonts w:ascii="Calibri" w:hAnsi="Calibri" w:cs="Calibri"/>
                <w:b w:val="0"/>
                <w:color w:val="000000"/>
              </w:rPr>
            </w:pPr>
            <w:r w:rsidRPr="00953EF3">
              <w:rPr>
                <w:rFonts w:ascii="Calibri" w:hAnsi="Calibri" w:cs="Calibri"/>
                <w:color w:val="000000"/>
              </w:rPr>
              <w:t>Growth rate</w:t>
            </w:r>
          </w:p>
        </w:tc>
        <w:tc>
          <w:tcPr>
            <w:tcW w:w="960" w:type="dxa"/>
            <w:noWrap/>
            <w:vAlign w:val="center"/>
          </w:tcPr>
          <w:p w:rsidR="00780D27" w:rsidRPr="007A33FF"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p>
        </w:tc>
        <w:tc>
          <w:tcPr>
            <w:tcW w:w="960" w:type="dxa"/>
            <w:noWrap/>
            <w:vAlign w:val="center"/>
          </w:tcPr>
          <w:p w:rsidR="00780D27" w:rsidRPr="007A33FF"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313%</w:t>
            </w:r>
          </w:p>
        </w:tc>
        <w:tc>
          <w:tcPr>
            <w:tcW w:w="960" w:type="dxa"/>
            <w:noWrap/>
            <w:vAlign w:val="center"/>
          </w:tcPr>
          <w:p w:rsidR="00780D27" w:rsidRPr="007A33FF"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-32%</w:t>
            </w:r>
          </w:p>
        </w:tc>
        <w:tc>
          <w:tcPr>
            <w:tcW w:w="960" w:type="dxa"/>
            <w:noWrap/>
            <w:vAlign w:val="center"/>
          </w:tcPr>
          <w:p w:rsidR="00780D27" w:rsidRPr="007A33FF" w:rsidRDefault="00780D27" w:rsidP="00780D27">
            <w:pPr>
              <w:pStyle w:val="NoSpacing"/>
              <w:jc w:val="right"/>
              <w:cnfStyle w:val="000000000000" w:firstRow="0" w:lastRow="0" w:firstColumn="0" w:lastColumn="0" w:oddVBand="0" w:evenVBand="0" w:oddHBand="0" w:evenHBand="0" w:firstRowFirstColumn="0" w:firstRowLastColumn="0" w:lastRowFirstColumn="0" w:lastRowLastColumn="0"/>
            </w:pPr>
            <w:r>
              <w:t>93%</w:t>
            </w:r>
          </w:p>
        </w:tc>
      </w:tr>
    </w:tbl>
    <w:p w:rsidR="00B5798E" w:rsidRDefault="00B5798E" w:rsidP="007A33FF">
      <w:pPr>
        <w:spacing w:after="160" w:line="259" w:lineRule="auto"/>
      </w:pPr>
    </w:p>
    <w:p w:rsidR="00780D27" w:rsidRPr="00780D27" w:rsidRDefault="007A33FF" w:rsidP="00780D27">
      <w:pPr>
        <w:pStyle w:val="NoSpacing"/>
        <w:jc w:val="both"/>
        <w:rPr>
          <w:sz w:val="24"/>
        </w:rPr>
      </w:pPr>
      <w:r w:rsidRPr="00780D27">
        <w:rPr>
          <w:sz w:val="24"/>
        </w:rPr>
        <w:t>The table above show</w:t>
      </w:r>
      <w:r w:rsidR="004B00F6" w:rsidRPr="00780D27">
        <w:rPr>
          <w:sz w:val="24"/>
        </w:rPr>
        <w:t>s</w:t>
      </w:r>
      <w:r w:rsidR="007F4A32" w:rsidRPr="00780D27">
        <w:rPr>
          <w:sz w:val="24"/>
        </w:rPr>
        <w:t xml:space="preserve"> significant variation in </w:t>
      </w:r>
      <w:r w:rsidRPr="00780D27">
        <w:rPr>
          <w:sz w:val="24"/>
        </w:rPr>
        <w:t>increase and decrease in</w:t>
      </w:r>
      <w:r w:rsidR="00C926AD" w:rsidRPr="00780D27">
        <w:rPr>
          <w:sz w:val="24"/>
        </w:rPr>
        <w:t xml:space="preserve"> the number of policyholders in different regions</w:t>
      </w:r>
      <w:r w:rsidR="007F4A32" w:rsidRPr="00780D27">
        <w:rPr>
          <w:sz w:val="24"/>
        </w:rPr>
        <w:t xml:space="preserve"> across the country,</w:t>
      </w:r>
      <w:r w:rsidR="00C926AD" w:rsidRPr="00780D27">
        <w:rPr>
          <w:sz w:val="24"/>
        </w:rPr>
        <w:t xml:space="preserve"> </w:t>
      </w:r>
      <w:r w:rsidR="007F4A32" w:rsidRPr="00780D27">
        <w:rPr>
          <w:sz w:val="24"/>
        </w:rPr>
        <w:t xml:space="preserve">during </w:t>
      </w:r>
      <w:r w:rsidRPr="00780D27">
        <w:rPr>
          <w:sz w:val="24"/>
        </w:rPr>
        <w:t>last three years.</w:t>
      </w:r>
      <w:r w:rsidR="004B00F6" w:rsidRPr="00780D27">
        <w:rPr>
          <w:sz w:val="24"/>
        </w:rPr>
        <w:t xml:space="preserve">  The year </w:t>
      </w:r>
      <w:r w:rsidR="00322DE3" w:rsidRPr="00780D27">
        <w:rPr>
          <w:sz w:val="24"/>
        </w:rPr>
        <w:t xml:space="preserve">2016-17 </w:t>
      </w:r>
      <w:r w:rsidR="004B00F6" w:rsidRPr="00780D27">
        <w:rPr>
          <w:sz w:val="24"/>
        </w:rPr>
        <w:t xml:space="preserve">remained economically </w:t>
      </w:r>
      <w:r w:rsidR="00322DE3" w:rsidRPr="00780D27">
        <w:rPr>
          <w:sz w:val="24"/>
        </w:rPr>
        <w:t xml:space="preserve">successful for </w:t>
      </w:r>
      <w:r w:rsidR="004B00F6" w:rsidRPr="00780D27">
        <w:rPr>
          <w:sz w:val="24"/>
        </w:rPr>
        <w:t xml:space="preserve">most of the </w:t>
      </w:r>
      <w:r w:rsidR="00322DE3" w:rsidRPr="00780D27">
        <w:rPr>
          <w:sz w:val="24"/>
        </w:rPr>
        <w:t xml:space="preserve">businesses in the country. </w:t>
      </w:r>
      <w:r w:rsidR="004B00F6" w:rsidRPr="00780D27">
        <w:rPr>
          <w:sz w:val="24"/>
        </w:rPr>
        <w:t xml:space="preserve"> The g</w:t>
      </w:r>
      <w:r w:rsidR="00322DE3" w:rsidRPr="00780D27">
        <w:rPr>
          <w:sz w:val="24"/>
        </w:rPr>
        <w:t xml:space="preserve">overnment </w:t>
      </w:r>
      <w:r w:rsidR="004B00F6" w:rsidRPr="00780D27">
        <w:rPr>
          <w:sz w:val="24"/>
        </w:rPr>
        <w:t xml:space="preserve">also introduced </w:t>
      </w:r>
      <w:r w:rsidR="00322DE3" w:rsidRPr="00780D27">
        <w:rPr>
          <w:sz w:val="24"/>
        </w:rPr>
        <w:t>initiatives</w:t>
      </w:r>
      <w:r w:rsidR="00780D27">
        <w:rPr>
          <w:sz w:val="24"/>
        </w:rPr>
        <w:t>,</w:t>
      </w:r>
      <w:r w:rsidR="00322DE3" w:rsidRPr="00780D27">
        <w:rPr>
          <w:sz w:val="24"/>
        </w:rPr>
        <w:t xml:space="preserve"> </w:t>
      </w:r>
      <w:r w:rsidR="00780D27">
        <w:rPr>
          <w:sz w:val="24"/>
        </w:rPr>
        <w:t>e</w:t>
      </w:r>
      <w:r w:rsidR="00322DE3" w:rsidRPr="00780D27">
        <w:rPr>
          <w:sz w:val="24"/>
        </w:rPr>
        <w:t>specially for the private sector</w:t>
      </w:r>
      <w:r w:rsidR="00780D27">
        <w:rPr>
          <w:sz w:val="24"/>
        </w:rPr>
        <w:t>,</w:t>
      </w:r>
      <w:r w:rsidR="00322DE3" w:rsidRPr="00780D27">
        <w:rPr>
          <w:sz w:val="24"/>
        </w:rPr>
        <w:t xml:space="preserve"> in terms of </w:t>
      </w:r>
      <w:r w:rsidR="004B00F6" w:rsidRPr="00780D27">
        <w:rPr>
          <w:sz w:val="24"/>
        </w:rPr>
        <w:t xml:space="preserve">facilitating </w:t>
      </w:r>
      <w:r w:rsidR="00322DE3" w:rsidRPr="00780D27">
        <w:rPr>
          <w:sz w:val="24"/>
        </w:rPr>
        <w:t xml:space="preserve">investment and opportunities. </w:t>
      </w:r>
      <w:r w:rsidR="005B1BFB" w:rsidRPr="00780D27">
        <w:rPr>
          <w:sz w:val="24"/>
        </w:rPr>
        <w:t xml:space="preserve"> Also, insurance </w:t>
      </w:r>
      <w:r w:rsidR="00635483" w:rsidRPr="00780D27">
        <w:rPr>
          <w:sz w:val="24"/>
        </w:rPr>
        <w:t xml:space="preserve">services </w:t>
      </w:r>
      <w:r w:rsidR="005B1BFB" w:rsidRPr="00780D27">
        <w:rPr>
          <w:sz w:val="24"/>
        </w:rPr>
        <w:t xml:space="preserve">have been promoted </w:t>
      </w:r>
      <w:r w:rsidR="00635483" w:rsidRPr="00780D27">
        <w:rPr>
          <w:sz w:val="24"/>
        </w:rPr>
        <w:t>across all sectors</w:t>
      </w:r>
      <w:r w:rsidR="005B1BFB" w:rsidRPr="00780D27">
        <w:rPr>
          <w:sz w:val="24"/>
        </w:rPr>
        <w:t xml:space="preserve">, </w:t>
      </w:r>
      <w:r w:rsidR="00635483" w:rsidRPr="00780D27">
        <w:rPr>
          <w:sz w:val="24"/>
        </w:rPr>
        <w:t>especially in health,</w:t>
      </w:r>
      <w:r w:rsidR="00C926AD" w:rsidRPr="00780D27">
        <w:rPr>
          <w:sz w:val="24"/>
        </w:rPr>
        <w:t xml:space="preserve"> fire,</w:t>
      </w:r>
      <w:r w:rsidR="00635483" w:rsidRPr="00780D27">
        <w:rPr>
          <w:sz w:val="24"/>
        </w:rPr>
        <w:t xml:space="preserve"> personal accident, cargo</w:t>
      </w:r>
      <w:r w:rsidR="005B1BFB" w:rsidRPr="00780D27">
        <w:rPr>
          <w:sz w:val="24"/>
        </w:rPr>
        <w:t>,</w:t>
      </w:r>
      <w:r w:rsidR="00635483" w:rsidRPr="00780D27">
        <w:rPr>
          <w:sz w:val="24"/>
        </w:rPr>
        <w:t xml:space="preserve"> etc. </w:t>
      </w:r>
    </w:p>
    <w:p w:rsidR="00780D27" w:rsidRDefault="00780D27" w:rsidP="00780D27">
      <w:pPr>
        <w:pStyle w:val="NoSpacing"/>
        <w:jc w:val="both"/>
        <w:rPr>
          <w:sz w:val="24"/>
        </w:rPr>
      </w:pPr>
    </w:p>
    <w:p w:rsidR="00635483" w:rsidRDefault="005B1BFB" w:rsidP="00780D27">
      <w:pPr>
        <w:pStyle w:val="NoSpacing"/>
        <w:jc w:val="both"/>
        <w:rPr>
          <w:sz w:val="24"/>
        </w:rPr>
      </w:pPr>
      <w:r w:rsidRPr="00780D27">
        <w:rPr>
          <w:sz w:val="24"/>
        </w:rPr>
        <w:lastRenderedPageBreak/>
        <w:t xml:space="preserve">On the other side, </w:t>
      </w:r>
      <w:r w:rsidR="00635483" w:rsidRPr="00780D27">
        <w:rPr>
          <w:sz w:val="24"/>
        </w:rPr>
        <w:t xml:space="preserve">2018 </w:t>
      </w:r>
      <w:r w:rsidR="002517AB" w:rsidRPr="00780D27">
        <w:rPr>
          <w:sz w:val="24"/>
        </w:rPr>
        <w:t>remained s</w:t>
      </w:r>
      <w:r w:rsidR="00635483" w:rsidRPr="00780D27">
        <w:rPr>
          <w:sz w:val="24"/>
        </w:rPr>
        <w:t xml:space="preserve">low for all business and insurance </w:t>
      </w:r>
      <w:r w:rsidR="00C926AD" w:rsidRPr="00780D27">
        <w:rPr>
          <w:sz w:val="24"/>
        </w:rPr>
        <w:t xml:space="preserve">sector </w:t>
      </w:r>
      <w:r w:rsidR="002517AB" w:rsidRPr="00780D27">
        <w:rPr>
          <w:sz w:val="24"/>
        </w:rPr>
        <w:t xml:space="preserve">was also affected.  </w:t>
      </w:r>
      <w:r w:rsidR="00247610" w:rsidRPr="00780D27">
        <w:rPr>
          <w:sz w:val="24"/>
        </w:rPr>
        <w:t xml:space="preserve">Withdrawal of foreign forces, </w:t>
      </w:r>
      <w:r w:rsidR="00C926AD" w:rsidRPr="00780D27">
        <w:rPr>
          <w:sz w:val="24"/>
        </w:rPr>
        <w:t xml:space="preserve">decrease in international projects requiring insurance </w:t>
      </w:r>
      <w:r w:rsidR="002517AB" w:rsidRPr="00780D27">
        <w:rPr>
          <w:sz w:val="24"/>
        </w:rPr>
        <w:t>coverage</w:t>
      </w:r>
      <w:r w:rsidR="00C926AD" w:rsidRPr="00780D27">
        <w:rPr>
          <w:sz w:val="24"/>
        </w:rPr>
        <w:t xml:space="preserve">, </w:t>
      </w:r>
      <w:r w:rsidR="00247610" w:rsidRPr="00780D27">
        <w:rPr>
          <w:sz w:val="24"/>
        </w:rPr>
        <w:t>t</w:t>
      </w:r>
      <w:r w:rsidR="00635483" w:rsidRPr="00780D27">
        <w:rPr>
          <w:sz w:val="24"/>
        </w:rPr>
        <w:t xml:space="preserve">he </w:t>
      </w:r>
      <w:r w:rsidR="00B86BFB" w:rsidRPr="00780D27">
        <w:rPr>
          <w:sz w:val="24"/>
        </w:rPr>
        <w:t>increased insecurity and unstable political situation, increased tax</w:t>
      </w:r>
      <w:r w:rsidR="002517AB" w:rsidRPr="00780D27">
        <w:rPr>
          <w:sz w:val="24"/>
        </w:rPr>
        <w:t>es</w:t>
      </w:r>
      <w:r w:rsidR="00B86BFB" w:rsidRPr="00780D27">
        <w:rPr>
          <w:sz w:val="24"/>
        </w:rPr>
        <w:t xml:space="preserve"> and tariffs</w:t>
      </w:r>
      <w:r w:rsidR="002517AB" w:rsidRPr="00780D27">
        <w:rPr>
          <w:sz w:val="24"/>
        </w:rPr>
        <w:t xml:space="preserve">, along with the </w:t>
      </w:r>
      <w:r w:rsidR="00B86BFB" w:rsidRPr="00780D27">
        <w:rPr>
          <w:sz w:val="24"/>
        </w:rPr>
        <w:t xml:space="preserve">change of import routes from Karachi port to Chah Bahar </w:t>
      </w:r>
      <w:r w:rsidR="002517AB" w:rsidRPr="00780D27">
        <w:rPr>
          <w:sz w:val="24"/>
        </w:rPr>
        <w:t xml:space="preserve">port </w:t>
      </w:r>
      <w:r w:rsidR="00B86BFB" w:rsidRPr="00780D27">
        <w:rPr>
          <w:sz w:val="24"/>
        </w:rPr>
        <w:t>caused business delays</w:t>
      </w:r>
      <w:r w:rsidR="00C926AD" w:rsidRPr="00780D27">
        <w:rPr>
          <w:sz w:val="24"/>
        </w:rPr>
        <w:t xml:space="preserve"> and slowdown</w:t>
      </w:r>
      <w:r w:rsidR="002517AB" w:rsidRPr="00780D27">
        <w:rPr>
          <w:sz w:val="24"/>
        </w:rPr>
        <w:t>, eventually resulting in the regional shift in the distribution of the number of insurance policyholders</w:t>
      </w:r>
      <w:r w:rsidR="00B86BFB" w:rsidRPr="00780D27">
        <w:rPr>
          <w:sz w:val="24"/>
        </w:rPr>
        <w:t>.</w:t>
      </w:r>
    </w:p>
    <w:p w:rsidR="00DF0740" w:rsidRPr="00780D27" w:rsidRDefault="00DF0740" w:rsidP="00780D27">
      <w:pPr>
        <w:pStyle w:val="NoSpacing"/>
        <w:jc w:val="both"/>
        <w:rPr>
          <w:sz w:val="24"/>
        </w:rPr>
      </w:pPr>
    </w:p>
    <w:p w:rsidR="00B86BFB" w:rsidRPr="00780D27" w:rsidRDefault="00DF0740" w:rsidP="00780D27">
      <w:pPr>
        <w:pStyle w:val="NoSpacing"/>
        <w:jc w:val="both"/>
        <w:rPr>
          <w:sz w:val="24"/>
        </w:rPr>
      </w:pPr>
      <w:r>
        <w:rPr>
          <w:sz w:val="24"/>
        </w:rPr>
        <w:t>A</w:t>
      </w:r>
      <w:r w:rsidRPr="00780D27">
        <w:rPr>
          <w:sz w:val="24"/>
        </w:rPr>
        <w:t>s compared to 2018</w:t>
      </w:r>
      <w:r>
        <w:rPr>
          <w:sz w:val="24"/>
        </w:rPr>
        <w:t>,</w:t>
      </w:r>
      <w:r w:rsidRPr="00780D27">
        <w:rPr>
          <w:sz w:val="24"/>
        </w:rPr>
        <w:t xml:space="preserve"> </w:t>
      </w:r>
      <w:r>
        <w:rPr>
          <w:sz w:val="24"/>
        </w:rPr>
        <w:t>t</w:t>
      </w:r>
      <w:r w:rsidR="002517AB" w:rsidRPr="00780D27">
        <w:rPr>
          <w:sz w:val="24"/>
        </w:rPr>
        <w:t xml:space="preserve">he year </w:t>
      </w:r>
      <w:r w:rsidR="00B86BFB" w:rsidRPr="00780D27">
        <w:rPr>
          <w:sz w:val="24"/>
        </w:rPr>
        <w:t>2019</w:t>
      </w:r>
      <w:r>
        <w:rPr>
          <w:sz w:val="24"/>
        </w:rPr>
        <w:t xml:space="preserve"> </w:t>
      </w:r>
      <w:r w:rsidR="00B86BFB" w:rsidRPr="00780D27">
        <w:rPr>
          <w:sz w:val="24"/>
        </w:rPr>
        <w:t>show</w:t>
      </w:r>
      <w:r w:rsidR="002517AB" w:rsidRPr="00780D27">
        <w:rPr>
          <w:sz w:val="24"/>
        </w:rPr>
        <w:t xml:space="preserve">ed </w:t>
      </w:r>
      <w:r w:rsidR="00B86BFB" w:rsidRPr="00780D27">
        <w:rPr>
          <w:sz w:val="24"/>
        </w:rPr>
        <w:t xml:space="preserve">increase in </w:t>
      </w:r>
      <w:r w:rsidR="002517AB" w:rsidRPr="00780D27">
        <w:rPr>
          <w:sz w:val="24"/>
        </w:rPr>
        <w:t xml:space="preserve">the number of policyholders in the </w:t>
      </w:r>
      <w:r w:rsidR="00D65C8E">
        <w:rPr>
          <w:sz w:val="24"/>
        </w:rPr>
        <w:t>central</w:t>
      </w:r>
      <w:r w:rsidR="00B86BFB" w:rsidRPr="00780D27">
        <w:rPr>
          <w:sz w:val="24"/>
        </w:rPr>
        <w:t xml:space="preserve"> </w:t>
      </w:r>
      <w:r w:rsidR="002517AB" w:rsidRPr="00780D27">
        <w:rPr>
          <w:sz w:val="24"/>
        </w:rPr>
        <w:t xml:space="preserve">region </w:t>
      </w:r>
      <w:r w:rsidR="00B86BFB" w:rsidRPr="00780D27">
        <w:rPr>
          <w:sz w:val="24"/>
        </w:rPr>
        <w:t xml:space="preserve">and other provinces </w:t>
      </w:r>
      <w:r w:rsidR="00247610" w:rsidRPr="00780D27">
        <w:rPr>
          <w:sz w:val="24"/>
        </w:rPr>
        <w:t>of the country</w:t>
      </w:r>
      <w:r w:rsidR="002517AB" w:rsidRPr="00780D27">
        <w:rPr>
          <w:sz w:val="24"/>
        </w:rPr>
        <w:t>,</w:t>
      </w:r>
      <w:r w:rsidR="00247610" w:rsidRPr="00780D27">
        <w:rPr>
          <w:sz w:val="24"/>
        </w:rPr>
        <w:t xml:space="preserve"> </w:t>
      </w:r>
      <w:r w:rsidR="00B86BFB" w:rsidRPr="00780D27">
        <w:rPr>
          <w:sz w:val="24"/>
        </w:rPr>
        <w:t xml:space="preserve">by 93%. </w:t>
      </w:r>
      <w:r w:rsidR="002517AB" w:rsidRPr="00780D27">
        <w:rPr>
          <w:sz w:val="24"/>
        </w:rPr>
        <w:t xml:space="preserve"> </w:t>
      </w:r>
      <w:r w:rsidR="00B86BFB" w:rsidRPr="00780D27">
        <w:rPr>
          <w:sz w:val="24"/>
        </w:rPr>
        <w:t xml:space="preserve">This increase has been </w:t>
      </w:r>
      <w:r w:rsidR="00D65C8E">
        <w:rPr>
          <w:sz w:val="24"/>
        </w:rPr>
        <w:t xml:space="preserve">possibly </w:t>
      </w:r>
      <w:r w:rsidR="00B86BFB" w:rsidRPr="00780D27">
        <w:rPr>
          <w:sz w:val="24"/>
        </w:rPr>
        <w:t>due to many factors</w:t>
      </w:r>
      <w:r w:rsidR="001C6683" w:rsidRPr="00780D27">
        <w:rPr>
          <w:sz w:val="24"/>
        </w:rPr>
        <w:t>, including:</w:t>
      </w:r>
    </w:p>
    <w:p w:rsidR="001C6683" w:rsidRPr="00780D27" w:rsidRDefault="001C6683" w:rsidP="00780D27">
      <w:pPr>
        <w:pStyle w:val="NoSpacing"/>
        <w:jc w:val="both"/>
        <w:rPr>
          <w:sz w:val="24"/>
        </w:rPr>
      </w:pPr>
    </w:p>
    <w:p w:rsidR="001C6683" w:rsidRPr="00FE3786" w:rsidRDefault="001C6683" w:rsidP="00E027F3">
      <w:pPr>
        <w:pStyle w:val="ListParagraph"/>
        <w:numPr>
          <w:ilvl w:val="0"/>
          <w:numId w:val="3"/>
        </w:numPr>
        <w:spacing w:after="160" w:line="259" w:lineRule="auto"/>
        <w:jc w:val="both"/>
        <w:rPr>
          <w:rFonts w:asciiTheme="minorHAnsi" w:hAnsiTheme="minorHAnsi" w:cstheme="minorBidi"/>
          <w:szCs w:val="22"/>
        </w:rPr>
      </w:pPr>
      <w:r w:rsidRPr="00FE3786">
        <w:rPr>
          <w:rFonts w:asciiTheme="minorHAnsi" w:hAnsiTheme="minorHAnsi" w:cstheme="minorBidi"/>
          <w:szCs w:val="22"/>
        </w:rPr>
        <w:t xml:space="preserve">Requirement of having the </w:t>
      </w:r>
      <w:r w:rsidR="00B86BFB" w:rsidRPr="00FE3786">
        <w:rPr>
          <w:rFonts w:asciiTheme="minorHAnsi" w:hAnsiTheme="minorHAnsi" w:cstheme="minorBidi"/>
          <w:szCs w:val="22"/>
        </w:rPr>
        <w:t xml:space="preserve">compulsory fire insurance </w:t>
      </w:r>
      <w:r w:rsidR="00247610" w:rsidRPr="00FE3786">
        <w:rPr>
          <w:rFonts w:asciiTheme="minorHAnsi" w:hAnsiTheme="minorHAnsi" w:cstheme="minorBidi"/>
          <w:szCs w:val="22"/>
        </w:rPr>
        <w:t xml:space="preserve">by the government </w:t>
      </w:r>
      <w:r w:rsidR="00B86BFB" w:rsidRPr="00FE3786">
        <w:rPr>
          <w:rFonts w:asciiTheme="minorHAnsi" w:hAnsiTheme="minorHAnsi" w:cstheme="minorBidi"/>
          <w:szCs w:val="22"/>
        </w:rPr>
        <w:t>for all properties titled commercial and all businesses to attain fire insurance be</w:t>
      </w:r>
      <w:r w:rsidR="00C926AD" w:rsidRPr="00FE3786">
        <w:rPr>
          <w:rFonts w:asciiTheme="minorHAnsi" w:hAnsiTheme="minorHAnsi" w:cstheme="minorBidi"/>
          <w:szCs w:val="22"/>
        </w:rPr>
        <w:t>fore applying for new establishment and or renewal purpose</w:t>
      </w:r>
      <w:r w:rsidRPr="00FE3786">
        <w:rPr>
          <w:rFonts w:asciiTheme="minorHAnsi" w:hAnsiTheme="minorHAnsi" w:cstheme="minorBidi"/>
          <w:szCs w:val="22"/>
        </w:rPr>
        <w:t>;</w:t>
      </w:r>
    </w:p>
    <w:p w:rsidR="001C6683" w:rsidRPr="00FE3786" w:rsidRDefault="001C6683" w:rsidP="001C6683">
      <w:pPr>
        <w:pStyle w:val="ListParagraph"/>
        <w:spacing w:after="160" w:line="259" w:lineRule="auto"/>
        <w:jc w:val="both"/>
        <w:rPr>
          <w:rFonts w:asciiTheme="minorHAnsi" w:hAnsiTheme="minorHAnsi" w:cstheme="minorBidi"/>
          <w:szCs w:val="22"/>
        </w:rPr>
      </w:pPr>
    </w:p>
    <w:p w:rsidR="001C6683" w:rsidRPr="00FE3786" w:rsidRDefault="00B86BFB" w:rsidP="00E027F3">
      <w:pPr>
        <w:pStyle w:val="ListParagraph"/>
        <w:numPr>
          <w:ilvl w:val="0"/>
          <w:numId w:val="3"/>
        </w:numPr>
        <w:spacing w:after="160" w:line="259" w:lineRule="auto"/>
        <w:jc w:val="both"/>
        <w:rPr>
          <w:rFonts w:asciiTheme="minorHAnsi" w:hAnsiTheme="minorHAnsi" w:cstheme="minorBidi"/>
          <w:szCs w:val="22"/>
        </w:rPr>
      </w:pPr>
      <w:r w:rsidRPr="00FE3786">
        <w:rPr>
          <w:rFonts w:asciiTheme="minorHAnsi" w:hAnsiTheme="minorHAnsi" w:cstheme="minorBidi"/>
          <w:szCs w:val="22"/>
        </w:rPr>
        <w:t>Increased travels to countries where tra</w:t>
      </w:r>
      <w:r w:rsidR="001C6683" w:rsidRPr="00FE3786">
        <w:rPr>
          <w:rFonts w:asciiTheme="minorHAnsi" w:hAnsiTheme="minorHAnsi" w:cstheme="minorBidi"/>
          <w:szCs w:val="22"/>
        </w:rPr>
        <w:t>vel insurance is necessary like</w:t>
      </w:r>
      <w:r w:rsidRPr="00FE3786">
        <w:rPr>
          <w:rFonts w:asciiTheme="minorHAnsi" w:hAnsiTheme="minorHAnsi" w:cstheme="minorBidi"/>
          <w:szCs w:val="22"/>
        </w:rPr>
        <w:t xml:space="preserve"> Iran, Turkey</w:t>
      </w:r>
      <w:r w:rsidR="00DF0740">
        <w:rPr>
          <w:rFonts w:asciiTheme="minorHAnsi" w:hAnsiTheme="minorHAnsi" w:cstheme="minorBidi"/>
          <w:szCs w:val="22"/>
        </w:rPr>
        <w:t>,</w:t>
      </w:r>
      <w:r w:rsidRPr="00FE3786">
        <w:rPr>
          <w:rFonts w:asciiTheme="minorHAnsi" w:hAnsiTheme="minorHAnsi" w:cstheme="minorBidi"/>
          <w:szCs w:val="22"/>
        </w:rPr>
        <w:t xml:space="preserve"> etc.</w:t>
      </w:r>
    </w:p>
    <w:p w:rsidR="001C6683" w:rsidRPr="00FE3786" w:rsidRDefault="001C6683" w:rsidP="001C6683">
      <w:pPr>
        <w:pStyle w:val="ListParagraph"/>
        <w:rPr>
          <w:rFonts w:asciiTheme="minorHAnsi" w:hAnsiTheme="minorHAnsi" w:cstheme="minorBidi"/>
          <w:szCs w:val="22"/>
        </w:rPr>
      </w:pPr>
    </w:p>
    <w:p w:rsidR="00247610" w:rsidRPr="00FE3786" w:rsidRDefault="00247610" w:rsidP="00E027F3">
      <w:pPr>
        <w:pStyle w:val="ListParagraph"/>
        <w:numPr>
          <w:ilvl w:val="0"/>
          <w:numId w:val="3"/>
        </w:numPr>
        <w:spacing w:after="160" w:line="259" w:lineRule="auto"/>
        <w:jc w:val="both"/>
        <w:rPr>
          <w:rFonts w:asciiTheme="minorHAnsi" w:hAnsiTheme="minorHAnsi" w:cstheme="minorBidi"/>
          <w:szCs w:val="22"/>
        </w:rPr>
      </w:pPr>
      <w:r w:rsidRPr="00FE3786">
        <w:rPr>
          <w:rFonts w:asciiTheme="minorHAnsi" w:hAnsiTheme="minorHAnsi" w:cstheme="minorBidi"/>
          <w:szCs w:val="22"/>
        </w:rPr>
        <w:t>Increased volume of imports requiring cargo, fleet</w:t>
      </w:r>
      <w:r w:rsidR="001C6683" w:rsidRPr="00FE3786">
        <w:rPr>
          <w:rFonts w:asciiTheme="minorHAnsi" w:hAnsiTheme="minorHAnsi" w:cstheme="minorBidi"/>
          <w:szCs w:val="22"/>
        </w:rPr>
        <w:t>,</w:t>
      </w:r>
      <w:r w:rsidRPr="00FE3786">
        <w:rPr>
          <w:rFonts w:asciiTheme="minorHAnsi" w:hAnsiTheme="minorHAnsi" w:cstheme="minorBidi"/>
          <w:szCs w:val="22"/>
        </w:rPr>
        <w:t xml:space="preserve"> and goods insurance</w:t>
      </w:r>
      <w:r w:rsidR="001C6683" w:rsidRPr="00FE3786">
        <w:rPr>
          <w:rFonts w:asciiTheme="minorHAnsi" w:hAnsiTheme="minorHAnsi" w:cstheme="minorBidi"/>
          <w:szCs w:val="22"/>
        </w:rPr>
        <w:t>;</w:t>
      </w:r>
    </w:p>
    <w:p w:rsidR="00DF7D66" w:rsidRDefault="00DF7D66" w:rsidP="005A3ACB">
      <w:pPr>
        <w:pStyle w:val="NoSpacing"/>
      </w:pPr>
    </w:p>
    <w:p w:rsidR="00D65C8E" w:rsidRDefault="00D65C8E" w:rsidP="00D65C8E">
      <w:pPr>
        <w:pStyle w:val="NoSpacing"/>
        <w:jc w:val="both"/>
        <w:rPr>
          <w:sz w:val="24"/>
        </w:rPr>
      </w:pPr>
      <w:r w:rsidRPr="00D65C8E">
        <w:rPr>
          <w:sz w:val="24"/>
        </w:rPr>
        <w:t xml:space="preserve">Although the </w:t>
      </w:r>
      <w:r>
        <w:rPr>
          <w:sz w:val="24"/>
        </w:rPr>
        <w:t xml:space="preserve">total industry’s gross </w:t>
      </w:r>
      <w:r w:rsidRPr="00D65C8E">
        <w:rPr>
          <w:sz w:val="24"/>
        </w:rPr>
        <w:t xml:space="preserve">insurance </w:t>
      </w:r>
      <w:r>
        <w:rPr>
          <w:sz w:val="24"/>
        </w:rPr>
        <w:t xml:space="preserve">premium in </w:t>
      </w:r>
      <w:r w:rsidR="000B7FE4">
        <w:rPr>
          <w:sz w:val="24"/>
        </w:rPr>
        <w:t>Afghanistan</w:t>
      </w:r>
      <w:r>
        <w:rPr>
          <w:sz w:val="24"/>
        </w:rPr>
        <w:t xml:space="preserve"> remains very low, even if compared with the developing countries in the region, </w:t>
      </w:r>
      <w:r w:rsidR="000243E1">
        <w:rPr>
          <w:sz w:val="24"/>
        </w:rPr>
        <w:t>it is showing encouraging signs of growth</w:t>
      </w:r>
      <w:r w:rsidR="00694D2A">
        <w:rPr>
          <w:sz w:val="24"/>
        </w:rPr>
        <w:t>.  Just between 2018 and 2019, the insurance industry total gross written premium grew by a whopping 154% from USD 13.7 million to USD 34.79 million.</w:t>
      </w:r>
    </w:p>
    <w:p w:rsidR="00694D2A" w:rsidRPr="00D65C8E" w:rsidRDefault="00694D2A" w:rsidP="00D65C8E">
      <w:pPr>
        <w:pStyle w:val="NoSpacing"/>
        <w:jc w:val="both"/>
        <w:rPr>
          <w:sz w:val="24"/>
        </w:rPr>
      </w:pPr>
    </w:p>
    <w:p w:rsidR="00D65C8E" w:rsidRDefault="00D65C8E" w:rsidP="005A3ACB">
      <w:pPr>
        <w:pStyle w:val="NoSpacing"/>
      </w:pPr>
    </w:p>
    <w:p w:rsidR="005A3ACB" w:rsidRDefault="005A3ACB" w:rsidP="005A3ACB">
      <w:pPr>
        <w:pStyle w:val="Caption"/>
        <w:jc w:val="center"/>
      </w:pPr>
      <w:r>
        <w:t xml:space="preserve">Table </w:t>
      </w:r>
      <w:r>
        <w:fldChar w:fldCharType="begin"/>
      </w:r>
      <w:r>
        <w:instrText xml:space="preserve"> SEQ Table \* ARABIC </w:instrText>
      </w:r>
      <w:r>
        <w:fldChar w:fldCharType="separate"/>
      </w:r>
      <w:r w:rsidR="00D65C8E">
        <w:rPr>
          <w:noProof/>
        </w:rPr>
        <w:t>3</w:t>
      </w:r>
      <w:r>
        <w:fldChar w:fldCharType="end"/>
      </w:r>
      <w:r>
        <w:t>: GDP, Premium, and Insurance Penetration in Afghanistan</w:t>
      </w:r>
    </w:p>
    <w:tbl>
      <w:tblPr>
        <w:tblStyle w:val="GridTable1Light-Accent51"/>
        <w:tblW w:w="0" w:type="auto"/>
        <w:jc w:val="center"/>
        <w:tblLook w:val="04A0" w:firstRow="1" w:lastRow="0" w:firstColumn="1" w:lastColumn="0" w:noHBand="0" w:noVBand="1"/>
      </w:tblPr>
      <w:tblGrid>
        <w:gridCol w:w="817"/>
        <w:gridCol w:w="1418"/>
        <w:gridCol w:w="1559"/>
        <w:gridCol w:w="2268"/>
        <w:gridCol w:w="1404"/>
      </w:tblGrid>
      <w:tr w:rsidR="00D65C8E" w:rsidTr="00694D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rsidR="00D65C8E" w:rsidRDefault="00D65C8E" w:rsidP="005A3ACB">
            <w:pPr>
              <w:pStyle w:val="NoSpacing"/>
            </w:pPr>
            <w:r w:rsidRPr="00E67CDD">
              <w:t>Year</w:t>
            </w:r>
          </w:p>
        </w:tc>
        <w:tc>
          <w:tcPr>
            <w:tcW w:w="1418" w:type="dxa"/>
          </w:tcPr>
          <w:p w:rsidR="00D65C8E" w:rsidRDefault="00D65C8E" w:rsidP="005A3ACB">
            <w:pPr>
              <w:pStyle w:val="NoSpacing"/>
              <w:jc w:val="center"/>
              <w:cnfStyle w:val="100000000000" w:firstRow="1" w:lastRow="0" w:firstColumn="0" w:lastColumn="0" w:oddVBand="0" w:evenVBand="0" w:oddHBand="0" w:evenHBand="0" w:firstRowFirstColumn="0" w:firstRowLastColumn="0" w:lastRowFirstColumn="0" w:lastRowLastColumn="0"/>
            </w:pPr>
            <w:r w:rsidRPr="00E67CDD">
              <w:t>GDP</w:t>
            </w:r>
          </w:p>
          <w:p w:rsidR="00D65C8E" w:rsidRDefault="00D65C8E" w:rsidP="005A3ACB">
            <w:pPr>
              <w:pStyle w:val="NoSpacing"/>
              <w:jc w:val="center"/>
              <w:cnfStyle w:val="100000000000" w:firstRow="1" w:lastRow="0" w:firstColumn="0" w:lastColumn="0" w:oddVBand="0" w:evenVBand="0" w:oddHBand="0" w:evenHBand="0" w:firstRowFirstColumn="0" w:firstRowLastColumn="0" w:lastRowFirstColumn="0" w:lastRowLastColumn="0"/>
            </w:pPr>
            <w:r>
              <w:t>(USD billion)</w:t>
            </w:r>
          </w:p>
        </w:tc>
        <w:tc>
          <w:tcPr>
            <w:tcW w:w="1559" w:type="dxa"/>
          </w:tcPr>
          <w:p w:rsidR="00D65C8E" w:rsidRDefault="00D65C8E" w:rsidP="005A3ACB">
            <w:pPr>
              <w:pStyle w:val="NoSpacing"/>
              <w:jc w:val="center"/>
              <w:cnfStyle w:val="100000000000" w:firstRow="1" w:lastRow="0" w:firstColumn="0" w:lastColumn="0" w:oddVBand="0" w:evenVBand="0" w:oddHBand="0" w:evenHBand="0" w:firstRowFirstColumn="0" w:firstRowLastColumn="0" w:lastRowFirstColumn="0" w:lastRowLastColumn="0"/>
            </w:pPr>
            <w:r w:rsidRPr="00E67CDD">
              <w:t>Premium</w:t>
            </w:r>
          </w:p>
          <w:p w:rsidR="00D65C8E" w:rsidRDefault="00D65C8E" w:rsidP="00694D2A">
            <w:pPr>
              <w:pStyle w:val="NoSpacing"/>
              <w:jc w:val="center"/>
              <w:cnfStyle w:val="100000000000" w:firstRow="1" w:lastRow="0" w:firstColumn="0" w:lastColumn="0" w:oddVBand="0" w:evenVBand="0" w:oddHBand="0" w:evenHBand="0" w:firstRowFirstColumn="0" w:firstRowLastColumn="0" w:lastRowFirstColumn="0" w:lastRowLastColumn="0"/>
            </w:pPr>
            <w:r>
              <w:t xml:space="preserve">(USD </w:t>
            </w:r>
            <w:r w:rsidR="00694D2A">
              <w:t>m</w:t>
            </w:r>
            <w:r>
              <w:t>illion)</w:t>
            </w:r>
          </w:p>
        </w:tc>
        <w:tc>
          <w:tcPr>
            <w:tcW w:w="2268" w:type="dxa"/>
          </w:tcPr>
          <w:p w:rsidR="00D65C8E" w:rsidRDefault="00D65C8E" w:rsidP="005A3ACB">
            <w:pPr>
              <w:pStyle w:val="NoSpacing"/>
              <w:jc w:val="center"/>
              <w:cnfStyle w:val="100000000000" w:firstRow="1" w:lastRow="0" w:firstColumn="0" w:lastColumn="0" w:oddVBand="0" w:evenVBand="0" w:oddHBand="0" w:evenHBand="0" w:firstRowFirstColumn="0" w:firstRowLastColumn="0" w:lastRowFirstColumn="0" w:lastRowLastColumn="0"/>
            </w:pPr>
            <w:r w:rsidRPr="00E67CDD">
              <w:t xml:space="preserve">Insurance </w:t>
            </w:r>
            <w:r>
              <w:t>Penetration</w:t>
            </w:r>
          </w:p>
          <w:p w:rsidR="00D65C8E" w:rsidRDefault="00D65C8E" w:rsidP="005A3ACB">
            <w:pPr>
              <w:pStyle w:val="NoSpacing"/>
              <w:jc w:val="center"/>
              <w:cnfStyle w:val="100000000000" w:firstRow="1" w:lastRow="0" w:firstColumn="0" w:lastColumn="0" w:oddVBand="0" w:evenVBand="0" w:oddHBand="0" w:evenHBand="0" w:firstRowFirstColumn="0" w:firstRowLastColumn="0" w:lastRowFirstColumn="0" w:lastRowLastColumn="0"/>
            </w:pPr>
            <w:r>
              <w:t>(%</w:t>
            </w:r>
            <w:r w:rsidRPr="00E67CDD">
              <w:t xml:space="preserve"> </w:t>
            </w:r>
            <w:r>
              <w:t xml:space="preserve">of </w:t>
            </w:r>
            <w:r w:rsidRPr="00E67CDD">
              <w:t>GDP</w:t>
            </w:r>
            <w:r>
              <w:t>)</w:t>
            </w:r>
          </w:p>
        </w:tc>
        <w:tc>
          <w:tcPr>
            <w:tcW w:w="1404" w:type="dxa"/>
          </w:tcPr>
          <w:p w:rsidR="00D65C8E" w:rsidRDefault="00D65C8E" w:rsidP="007C0D44">
            <w:pPr>
              <w:pStyle w:val="NoSpacing"/>
              <w:jc w:val="center"/>
              <w:cnfStyle w:val="100000000000" w:firstRow="1" w:lastRow="0" w:firstColumn="0" w:lastColumn="0" w:oddVBand="0" w:evenVBand="0" w:oddHBand="0" w:evenHBand="0" w:firstRowFirstColumn="0" w:firstRowLastColumn="0" w:lastRowFirstColumn="0" w:lastRowLastColumn="0"/>
            </w:pPr>
            <w:r>
              <w:t>Year-on-year Growth</w:t>
            </w:r>
          </w:p>
          <w:p w:rsidR="00D65C8E" w:rsidRPr="00E67CDD" w:rsidRDefault="00D65C8E" w:rsidP="00D65C8E">
            <w:pPr>
              <w:pStyle w:val="NoSpacing"/>
              <w:jc w:val="center"/>
              <w:cnfStyle w:val="100000000000" w:firstRow="1" w:lastRow="0" w:firstColumn="0" w:lastColumn="0" w:oddVBand="0" w:evenVBand="0" w:oddHBand="0" w:evenHBand="0" w:firstRowFirstColumn="0" w:firstRowLastColumn="0" w:lastRowFirstColumn="0" w:lastRowLastColumn="0"/>
            </w:pPr>
            <w:r>
              <w:t>(%)</w:t>
            </w:r>
          </w:p>
        </w:tc>
      </w:tr>
      <w:tr w:rsidR="00D65C8E" w:rsidTr="00694D2A">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D65C8E" w:rsidRDefault="00D65C8E" w:rsidP="005A3ACB">
            <w:pPr>
              <w:pStyle w:val="NoSpacing"/>
            </w:pPr>
            <w:r>
              <w:t>2017</w:t>
            </w:r>
          </w:p>
        </w:tc>
        <w:tc>
          <w:tcPr>
            <w:tcW w:w="1418" w:type="dxa"/>
          </w:tcPr>
          <w:p w:rsidR="00D65C8E" w:rsidRDefault="00D65C8E" w:rsidP="005A3ACB">
            <w:pPr>
              <w:pStyle w:val="NoSpacing"/>
              <w:jc w:val="center"/>
              <w:cnfStyle w:val="000000000000" w:firstRow="0" w:lastRow="0" w:firstColumn="0" w:lastColumn="0" w:oddVBand="0" w:evenVBand="0" w:oddHBand="0" w:evenHBand="0" w:firstRowFirstColumn="0" w:firstRowLastColumn="0" w:lastRowFirstColumn="0" w:lastRowLastColumn="0"/>
            </w:pPr>
            <w:r w:rsidRPr="00E67CDD">
              <w:t>19.70</w:t>
            </w:r>
          </w:p>
        </w:tc>
        <w:tc>
          <w:tcPr>
            <w:tcW w:w="1559" w:type="dxa"/>
          </w:tcPr>
          <w:p w:rsidR="00D65C8E" w:rsidRDefault="00D65C8E" w:rsidP="005A3ACB">
            <w:pPr>
              <w:pStyle w:val="NoSpacing"/>
              <w:jc w:val="center"/>
              <w:cnfStyle w:val="000000000000" w:firstRow="0" w:lastRow="0" w:firstColumn="0" w:lastColumn="0" w:oddVBand="0" w:evenVBand="0" w:oddHBand="0" w:evenHBand="0" w:firstRowFirstColumn="0" w:firstRowLastColumn="0" w:lastRowFirstColumn="0" w:lastRowLastColumn="0"/>
            </w:pPr>
            <w:r w:rsidRPr="00E67CDD">
              <w:t>13.63</w:t>
            </w:r>
          </w:p>
        </w:tc>
        <w:tc>
          <w:tcPr>
            <w:tcW w:w="2268" w:type="dxa"/>
          </w:tcPr>
          <w:p w:rsidR="00D65C8E" w:rsidRDefault="00D65C8E" w:rsidP="005A3ACB">
            <w:pPr>
              <w:pStyle w:val="NoSpacing"/>
              <w:jc w:val="center"/>
              <w:cnfStyle w:val="000000000000" w:firstRow="0" w:lastRow="0" w:firstColumn="0" w:lastColumn="0" w:oddVBand="0" w:evenVBand="0" w:oddHBand="0" w:evenHBand="0" w:firstRowFirstColumn="0" w:firstRowLastColumn="0" w:lastRowFirstColumn="0" w:lastRowLastColumn="0"/>
            </w:pPr>
            <w:r w:rsidRPr="00E67CDD">
              <w:t>0.00069</w:t>
            </w:r>
          </w:p>
        </w:tc>
        <w:tc>
          <w:tcPr>
            <w:tcW w:w="1404" w:type="dxa"/>
          </w:tcPr>
          <w:p w:rsidR="00D65C8E" w:rsidRPr="00E67CDD" w:rsidRDefault="000243E1" w:rsidP="005A3ACB">
            <w:pPr>
              <w:pStyle w:val="NoSpacing"/>
              <w:jc w:val="center"/>
              <w:cnfStyle w:val="000000000000" w:firstRow="0" w:lastRow="0" w:firstColumn="0" w:lastColumn="0" w:oddVBand="0" w:evenVBand="0" w:oddHBand="0" w:evenHBand="0" w:firstRowFirstColumn="0" w:firstRowLastColumn="0" w:lastRowFirstColumn="0" w:lastRowLastColumn="0"/>
            </w:pPr>
            <w:r>
              <w:t>-</w:t>
            </w:r>
          </w:p>
        </w:tc>
      </w:tr>
      <w:tr w:rsidR="000243E1" w:rsidTr="00694D2A">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0243E1" w:rsidRDefault="000243E1" w:rsidP="005A3ACB">
            <w:pPr>
              <w:pStyle w:val="NoSpacing"/>
            </w:pPr>
            <w:r>
              <w:t>2018</w:t>
            </w:r>
          </w:p>
        </w:tc>
        <w:tc>
          <w:tcPr>
            <w:tcW w:w="1418" w:type="dxa"/>
          </w:tcPr>
          <w:p w:rsidR="000243E1" w:rsidRDefault="000243E1" w:rsidP="005A3ACB">
            <w:pPr>
              <w:pStyle w:val="NoSpacing"/>
              <w:jc w:val="center"/>
              <w:cnfStyle w:val="000000000000" w:firstRow="0" w:lastRow="0" w:firstColumn="0" w:lastColumn="0" w:oddVBand="0" w:evenVBand="0" w:oddHBand="0" w:evenHBand="0" w:firstRowFirstColumn="0" w:firstRowLastColumn="0" w:lastRowFirstColumn="0" w:lastRowLastColumn="0"/>
            </w:pPr>
            <w:r w:rsidRPr="00E67CDD">
              <w:t>20.20</w:t>
            </w:r>
          </w:p>
        </w:tc>
        <w:tc>
          <w:tcPr>
            <w:tcW w:w="1559" w:type="dxa"/>
          </w:tcPr>
          <w:p w:rsidR="000243E1" w:rsidRDefault="000243E1" w:rsidP="005A3ACB">
            <w:pPr>
              <w:pStyle w:val="NoSpacing"/>
              <w:jc w:val="center"/>
              <w:cnfStyle w:val="000000000000" w:firstRow="0" w:lastRow="0" w:firstColumn="0" w:lastColumn="0" w:oddVBand="0" w:evenVBand="0" w:oddHBand="0" w:evenHBand="0" w:firstRowFirstColumn="0" w:firstRowLastColumn="0" w:lastRowFirstColumn="0" w:lastRowLastColumn="0"/>
            </w:pPr>
            <w:r w:rsidRPr="00E67CDD">
              <w:t>13.</w:t>
            </w:r>
            <w:r>
              <w:t>70</w:t>
            </w:r>
          </w:p>
        </w:tc>
        <w:tc>
          <w:tcPr>
            <w:tcW w:w="2268" w:type="dxa"/>
          </w:tcPr>
          <w:p w:rsidR="000243E1" w:rsidRDefault="000243E1" w:rsidP="005A3ACB">
            <w:pPr>
              <w:pStyle w:val="NoSpacing"/>
              <w:jc w:val="center"/>
              <w:cnfStyle w:val="000000000000" w:firstRow="0" w:lastRow="0" w:firstColumn="0" w:lastColumn="0" w:oddVBand="0" w:evenVBand="0" w:oddHBand="0" w:evenHBand="0" w:firstRowFirstColumn="0" w:firstRowLastColumn="0" w:lastRowFirstColumn="0" w:lastRowLastColumn="0"/>
            </w:pPr>
            <w:r w:rsidRPr="00E67CDD">
              <w:t>0.00067</w:t>
            </w:r>
          </w:p>
        </w:tc>
        <w:tc>
          <w:tcPr>
            <w:tcW w:w="1404" w:type="dxa"/>
            <w:vAlign w:val="center"/>
          </w:tcPr>
          <w:p w:rsidR="000243E1" w:rsidRPr="00E67CDD" w:rsidRDefault="000243E1" w:rsidP="005A3ACB">
            <w:pPr>
              <w:pStyle w:val="NoSpacing"/>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w:t>
            </w:r>
          </w:p>
        </w:tc>
      </w:tr>
      <w:tr w:rsidR="000243E1" w:rsidTr="00694D2A">
        <w:trPr>
          <w:jc w:val="center"/>
        </w:trPr>
        <w:tc>
          <w:tcPr>
            <w:cnfStyle w:val="001000000000" w:firstRow="0" w:lastRow="0" w:firstColumn="1" w:lastColumn="0" w:oddVBand="0" w:evenVBand="0" w:oddHBand="0" w:evenHBand="0" w:firstRowFirstColumn="0" w:firstRowLastColumn="0" w:lastRowFirstColumn="0" w:lastRowLastColumn="0"/>
            <w:tcW w:w="817" w:type="dxa"/>
          </w:tcPr>
          <w:p w:rsidR="000243E1" w:rsidRDefault="000243E1" w:rsidP="005A3ACB">
            <w:pPr>
              <w:pStyle w:val="NoSpacing"/>
            </w:pPr>
            <w:r>
              <w:t>2019</w:t>
            </w:r>
          </w:p>
        </w:tc>
        <w:tc>
          <w:tcPr>
            <w:tcW w:w="1418" w:type="dxa"/>
          </w:tcPr>
          <w:p w:rsidR="000243E1" w:rsidRDefault="000243E1" w:rsidP="005A3ACB">
            <w:pPr>
              <w:pStyle w:val="NoSpacing"/>
              <w:jc w:val="center"/>
              <w:cnfStyle w:val="000000000000" w:firstRow="0" w:lastRow="0" w:firstColumn="0" w:lastColumn="0" w:oddVBand="0" w:evenVBand="0" w:oddHBand="0" w:evenHBand="0" w:firstRowFirstColumn="0" w:firstRowLastColumn="0" w:lastRowFirstColumn="0" w:lastRowLastColumn="0"/>
            </w:pPr>
            <w:r w:rsidRPr="00E67CDD">
              <w:t>19.90</w:t>
            </w:r>
          </w:p>
        </w:tc>
        <w:tc>
          <w:tcPr>
            <w:tcW w:w="1559" w:type="dxa"/>
          </w:tcPr>
          <w:p w:rsidR="000243E1" w:rsidRDefault="000243E1" w:rsidP="005A3ACB">
            <w:pPr>
              <w:pStyle w:val="NoSpacing"/>
              <w:jc w:val="center"/>
              <w:cnfStyle w:val="000000000000" w:firstRow="0" w:lastRow="0" w:firstColumn="0" w:lastColumn="0" w:oddVBand="0" w:evenVBand="0" w:oddHBand="0" w:evenHBand="0" w:firstRowFirstColumn="0" w:firstRowLastColumn="0" w:lastRowFirstColumn="0" w:lastRowLastColumn="0"/>
            </w:pPr>
            <w:r w:rsidRPr="00E67CDD">
              <w:t>34.7</w:t>
            </w:r>
            <w:r>
              <w:t>9</w:t>
            </w:r>
          </w:p>
        </w:tc>
        <w:tc>
          <w:tcPr>
            <w:tcW w:w="2268" w:type="dxa"/>
          </w:tcPr>
          <w:p w:rsidR="000243E1" w:rsidRDefault="000243E1" w:rsidP="005A3ACB">
            <w:pPr>
              <w:pStyle w:val="NoSpacing"/>
              <w:jc w:val="center"/>
              <w:cnfStyle w:val="000000000000" w:firstRow="0" w:lastRow="0" w:firstColumn="0" w:lastColumn="0" w:oddVBand="0" w:evenVBand="0" w:oddHBand="0" w:evenHBand="0" w:firstRowFirstColumn="0" w:firstRowLastColumn="0" w:lastRowFirstColumn="0" w:lastRowLastColumn="0"/>
            </w:pPr>
            <w:r w:rsidRPr="00E67CDD">
              <w:t>0.0017</w:t>
            </w:r>
          </w:p>
        </w:tc>
        <w:tc>
          <w:tcPr>
            <w:tcW w:w="1404" w:type="dxa"/>
            <w:vAlign w:val="center"/>
          </w:tcPr>
          <w:p w:rsidR="000243E1" w:rsidRPr="00E67CDD" w:rsidRDefault="000243E1" w:rsidP="005A3ACB">
            <w:pPr>
              <w:pStyle w:val="NoSpacing"/>
              <w:jc w:val="cente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154%</w:t>
            </w:r>
          </w:p>
        </w:tc>
      </w:tr>
    </w:tbl>
    <w:p w:rsidR="005A3ACB" w:rsidRDefault="005A3ACB" w:rsidP="005A3ACB">
      <w:pPr>
        <w:pStyle w:val="NoSpacing"/>
        <w:jc w:val="both"/>
        <w:rPr>
          <w:rFonts w:cstheme="minorHAnsi"/>
          <w:sz w:val="24"/>
        </w:rPr>
      </w:pPr>
    </w:p>
    <w:p w:rsidR="005A3ACB" w:rsidRDefault="005A3ACB" w:rsidP="005A3ACB">
      <w:pPr>
        <w:pStyle w:val="NoSpacing"/>
      </w:pPr>
    </w:p>
    <w:p w:rsidR="005A3ACB" w:rsidRPr="00FE3786" w:rsidRDefault="005A3ACB" w:rsidP="005A3ACB">
      <w:pPr>
        <w:pStyle w:val="NoSpacing"/>
      </w:pPr>
    </w:p>
    <w:p w:rsidR="00B5798E" w:rsidRDefault="00B5798E" w:rsidP="005A3ACB">
      <w:pPr>
        <w:pStyle w:val="NoSpacing"/>
        <w:rPr>
          <w:rFonts w:eastAsiaTheme="majorEastAsia" w:cstheme="majorBidi"/>
          <w:color w:val="365F91" w:themeColor="accent1" w:themeShade="BF"/>
          <w:sz w:val="32"/>
          <w:szCs w:val="32"/>
        </w:rPr>
      </w:pPr>
    </w:p>
    <w:p w:rsidR="00694D2A" w:rsidRDefault="00694D2A">
      <w:pPr>
        <w:spacing w:after="160" w:line="259" w:lineRule="auto"/>
        <w:rPr>
          <w:rFonts w:asciiTheme="majorHAnsi" w:eastAsiaTheme="majorEastAsia" w:hAnsiTheme="majorHAnsi" w:cstheme="majorBidi"/>
          <w:color w:val="365F91" w:themeColor="accent1" w:themeShade="BF"/>
          <w:sz w:val="32"/>
          <w:szCs w:val="32"/>
        </w:rPr>
      </w:pPr>
      <w:r>
        <w:br w:type="page"/>
      </w:r>
    </w:p>
    <w:p w:rsidR="00FC373C" w:rsidRPr="000A440B" w:rsidRDefault="00694D2A" w:rsidP="007A33FF">
      <w:pPr>
        <w:pStyle w:val="Heading1"/>
        <w:spacing w:line="259" w:lineRule="auto"/>
        <w:jc w:val="both"/>
      </w:pPr>
      <w:bookmarkStart w:id="10" w:name="_Toc43808703"/>
      <w:r>
        <w:lastRenderedPageBreak/>
        <w:t>Section 2</w:t>
      </w:r>
      <w:r w:rsidR="00AC57AF">
        <w:t xml:space="preserve">: Insurance </w:t>
      </w:r>
      <w:r w:rsidR="00AC57AF" w:rsidRPr="007A33FF">
        <w:t>Market Performance</w:t>
      </w:r>
      <w:bookmarkEnd w:id="10"/>
    </w:p>
    <w:p w:rsidR="009F6E31" w:rsidRPr="00FE3786" w:rsidRDefault="009F6E31" w:rsidP="007A33FF">
      <w:pPr>
        <w:pStyle w:val="NoSpacing"/>
        <w:rPr>
          <w:sz w:val="24"/>
        </w:rPr>
      </w:pPr>
    </w:p>
    <w:p w:rsidR="00F03BF1" w:rsidRPr="00FE3786" w:rsidRDefault="00FD188B" w:rsidP="007A33FF">
      <w:pPr>
        <w:pStyle w:val="NoSpacing"/>
        <w:jc w:val="both"/>
        <w:rPr>
          <w:sz w:val="24"/>
        </w:rPr>
      </w:pPr>
      <w:r w:rsidRPr="00FE3786">
        <w:rPr>
          <w:sz w:val="24"/>
        </w:rPr>
        <w:t>As mentioned earlier, t</w:t>
      </w:r>
      <w:r w:rsidR="00465BD5" w:rsidRPr="00FE3786">
        <w:rPr>
          <w:sz w:val="24"/>
        </w:rPr>
        <w:t xml:space="preserve">here are currently </w:t>
      </w:r>
      <w:r w:rsidR="00F03BF1" w:rsidRPr="00FE3786">
        <w:rPr>
          <w:sz w:val="24"/>
        </w:rPr>
        <w:t xml:space="preserve">five </w:t>
      </w:r>
      <w:r w:rsidR="00465BD5" w:rsidRPr="00FE3786">
        <w:rPr>
          <w:sz w:val="24"/>
        </w:rPr>
        <w:t xml:space="preserve">insurance companies operating in Afghanistan, including </w:t>
      </w:r>
      <w:r w:rsidR="00F03BF1" w:rsidRPr="00FE3786">
        <w:rPr>
          <w:sz w:val="24"/>
        </w:rPr>
        <w:t>four</w:t>
      </w:r>
      <w:r w:rsidR="00465BD5" w:rsidRPr="00FE3786">
        <w:rPr>
          <w:sz w:val="24"/>
        </w:rPr>
        <w:t xml:space="preserve"> </w:t>
      </w:r>
      <w:r w:rsidR="00F03BF1" w:rsidRPr="00FE3786">
        <w:rPr>
          <w:sz w:val="24"/>
        </w:rPr>
        <w:t xml:space="preserve">in the </w:t>
      </w:r>
      <w:r w:rsidR="00465BD5" w:rsidRPr="00FE3786">
        <w:rPr>
          <w:sz w:val="24"/>
        </w:rPr>
        <w:t xml:space="preserve">private </w:t>
      </w:r>
      <w:r w:rsidR="00F03BF1" w:rsidRPr="00FE3786">
        <w:rPr>
          <w:sz w:val="24"/>
        </w:rPr>
        <w:t xml:space="preserve">sector </w:t>
      </w:r>
      <w:r w:rsidR="00465BD5" w:rsidRPr="00FE3786">
        <w:rPr>
          <w:sz w:val="24"/>
        </w:rPr>
        <w:t xml:space="preserve">and one </w:t>
      </w:r>
      <w:r w:rsidR="00F03BF1" w:rsidRPr="00FE3786">
        <w:rPr>
          <w:sz w:val="24"/>
        </w:rPr>
        <w:t xml:space="preserve">in the </w:t>
      </w:r>
      <w:r w:rsidR="00465BD5" w:rsidRPr="00FE3786">
        <w:rPr>
          <w:sz w:val="24"/>
        </w:rPr>
        <w:t xml:space="preserve">public. </w:t>
      </w:r>
      <w:r w:rsidR="00F03BF1" w:rsidRPr="00FE3786">
        <w:rPr>
          <w:sz w:val="24"/>
        </w:rPr>
        <w:t xml:space="preserve"> </w:t>
      </w:r>
      <w:r w:rsidR="00465BD5" w:rsidRPr="00FE3786">
        <w:rPr>
          <w:sz w:val="24"/>
        </w:rPr>
        <w:t xml:space="preserve">The local and fully licensed insurance companies are: </w:t>
      </w:r>
    </w:p>
    <w:p w:rsidR="00F03BF1" w:rsidRPr="00FE3786" w:rsidRDefault="00F03BF1" w:rsidP="007A33FF">
      <w:pPr>
        <w:pStyle w:val="NoSpacing"/>
        <w:jc w:val="both"/>
        <w:rPr>
          <w:sz w:val="24"/>
        </w:rPr>
      </w:pPr>
    </w:p>
    <w:p w:rsidR="00F03BF1" w:rsidRPr="00FE3786" w:rsidRDefault="00F03BF1" w:rsidP="00E027F3">
      <w:pPr>
        <w:pStyle w:val="NoSpacing"/>
        <w:numPr>
          <w:ilvl w:val="0"/>
          <w:numId w:val="3"/>
        </w:numPr>
        <w:jc w:val="both"/>
        <w:rPr>
          <w:sz w:val="24"/>
        </w:rPr>
      </w:pPr>
      <w:r w:rsidRPr="00FE3786">
        <w:rPr>
          <w:sz w:val="24"/>
        </w:rPr>
        <w:t xml:space="preserve">The </w:t>
      </w:r>
      <w:r w:rsidR="00465BD5" w:rsidRPr="00FE3786">
        <w:rPr>
          <w:sz w:val="24"/>
        </w:rPr>
        <w:t>state owned Afghan National Insurance Corporation (ANIC)</w:t>
      </w:r>
      <w:r w:rsidRPr="00FE3786">
        <w:rPr>
          <w:sz w:val="24"/>
        </w:rPr>
        <w:t xml:space="preserve"> – </w:t>
      </w:r>
      <w:r w:rsidR="00465BD5" w:rsidRPr="00FE3786">
        <w:rPr>
          <w:sz w:val="24"/>
        </w:rPr>
        <w:t>established</w:t>
      </w:r>
      <w:r w:rsidRPr="00FE3786">
        <w:rPr>
          <w:sz w:val="24"/>
        </w:rPr>
        <w:t xml:space="preserve"> in 1964</w:t>
      </w:r>
      <w:r w:rsidR="00465BD5" w:rsidRPr="00FE3786">
        <w:rPr>
          <w:sz w:val="24"/>
        </w:rPr>
        <w:t xml:space="preserve">, </w:t>
      </w:r>
    </w:p>
    <w:p w:rsidR="00F03BF1" w:rsidRPr="00FE3786" w:rsidRDefault="00465BD5" w:rsidP="00E027F3">
      <w:pPr>
        <w:pStyle w:val="NoSpacing"/>
        <w:numPr>
          <w:ilvl w:val="0"/>
          <w:numId w:val="3"/>
        </w:numPr>
        <w:jc w:val="both"/>
        <w:rPr>
          <w:sz w:val="24"/>
        </w:rPr>
      </w:pPr>
      <w:r w:rsidRPr="00FE3786">
        <w:rPr>
          <w:sz w:val="24"/>
        </w:rPr>
        <w:t xml:space="preserve">Insurance Corporation of Afghanistan (ICA) </w:t>
      </w:r>
      <w:r w:rsidR="00F03BF1" w:rsidRPr="00FE3786">
        <w:rPr>
          <w:sz w:val="24"/>
        </w:rPr>
        <w:t xml:space="preserve">– </w:t>
      </w:r>
      <w:r w:rsidRPr="00FE3786">
        <w:rPr>
          <w:sz w:val="24"/>
        </w:rPr>
        <w:t>est</w:t>
      </w:r>
      <w:r w:rsidR="00F03BF1" w:rsidRPr="00FE3786">
        <w:rPr>
          <w:sz w:val="24"/>
        </w:rPr>
        <w:t>ablished in 2007</w:t>
      </w:r>
      <w:r w:rsidRPr="00FE3786">
        <w:rPr>
          <w:sz w:val="24"/>
        </w:rPr>
        <w:t xml:space="preserve">, </w:t>
      </w:r>
    </w:p>
    <w:p w:rsidR="00F03BF1" w:rsidRPr="00FE3786" w:rsidRDefault="00465BD5" w:rsidP="00E027F3">
      <w:pPr>
        <w:pStyle w:val="NoSpacing"/>
        <w:numPr>
          <w:ilvl w:val="0"/>
          <w:numId w:val="3"/>
        </w:numPr>
        <w:jc w:val="both"/>
        <w:rPr>
          <w:sz w:val="24"/>
        </w:rPr>
      </w:pPr>
      <w:r w:rsidRPr="00FE3786">
        <w:rPr>
          <w:sz w:val="24"/>
        </w:rPr>
        <w:t xml:space="preserve">Afghan Global Insurance (AGI) </w:t>
      </w:r>
      <w:r w:rsidR="00F03BF1" w:rsidRPr="00FE3786">
        <w:rPr>
          <w:sz w:val="24"/>
        </w:rPr>
        <w:t xml:space="preserve">– </w:t>
      </w:r>
      <w:r w:rsidRPr="00FE3786">
        <w:rPr>
          <w:sz w:val="24"/>
        </w:rPr>
        <w:t>est</w:t>
      </w:r>
      <w:r w:rsidR="00F03BF1" w:rsidRPr="00FE3786">
        <w:rPr>
          <w:sz w:val="24"/>
        </w:rPr>
        <w:t xml:space="preserve">ablished in </w:t>
      </w:r>
      <w:r w:rsidRPr="00FE3786">
        <w:rPr>
          <w:sz w:val="24"/>
        </w:rPr>
        <w:t>2</w:t>
      </w:r>
      <w:r w:rsidR="00F03BF1" w:rsidRPr="00FE3786">
        <w:rPr>
          <w:sz w:val="24"/>
        </w:rPr>
        <w:t>010</w:t>
      </w:r>
      <w:r w:rsidRPr="00FE3786">
        <w:rPr>
          <w:sz w:val="24"/>
        </w:rPr>
        <w:t xml:space="preserve">, </w:t>
      </w:r>
    </w:p>
    <w:p w:rsidR="00465BD5" w:rsidRPr="00FE3786" w:rsidRDefault="00F03BF1" w:rsidP="00E027F3">
      <w:pPr>
        <w:pStyle w:val="NoSpacing"/>
        <w:numPr>
          <w:ilvl w:val="0"/>
          <w:numId w:val="3"/>
        </w:numPr>
        <w:jc w:val="both"/>
        <w:rPr>
          <w:sz w:val="24"/>
        </w:rPr>
      </w:pPr>
      <w:r w:rsidRPr="00FE3786">
        <w:rPr>
          <w:sz w:val="24"/>
        </w:rPr>
        <w:t>S</w:t>
      </w:r>
      <w:r w:rsidR="00465BD5" w:rsidRPr="00FE3786">
        <w:rPr>
          <w:sz w:val="24"/>
        </w:rPr>
        <w:t xml:space="preserve">ky Insurance </w:t>
      </w:r>
      <w:r w:rsidRPr="00FE3786">
        <w:rPr>
          <w:sz w:val="24"/>
        </w:rPr>
        <w:t xml:space="preserve">– </w:t>
      </w:r>
      <w:r w:rsidR="00465BD5" w:rsidRPr="00FE3786">
        <w:rPr>
          <w:sz w:val="24"/>
        </w:rPr>
        <w:t>est</w:t>
      </w:r>
      <w:r w:rsidRPr="00FE3786">
        <w:rPr>
          <w:sz w:val="24"/>
        </w:rPr>
        <w:t>ablished in 2016, and</w:t>
      </w:r>
    </w:p>
    <w:p w:rsidR="00F03BF1" w:rsidRPr="00FE3786" w:rsidRDefault="00F03BF1" w:rsidP="00E027F3">
      <w:pPr>
        <w:pStyle w:val="NoSpacing"/>
        <w:numPr>
          <w:ilvl w:val="0"/>
          <w:numId w:val="3"/>
        </w:numPr>
        <w:jc w:val="both"/>
        <w:rPr>
          <w:sz w:val="24"/>
        </w:rPr>
      </w:pPr>
      <w:r w:rsidRPr="00FE3786">
        <w:rPr>
          <w:sz w:val="24"/>
        </w:rPr>
        <w:t>S</w:t>
      </w:r>
      <w:r w:rsidR="00697CA8">
        <w:rPr>
          <w:sz w:val="24"/>
        </w:rPr>
        <w:t>a</w:t>
      </w:r>
      <w:r w:rsidRPr="00FE3786">
        <w:rPr>
          <w:sz w:val="24"/>
        </w:rPr>
        <w:t>dra Insurance – established in 2018.</w:t>
      </w:r>
    </w:p>
    <w:p w:rsidR="009F6E31" w:rsidRPr="00FE3786" w:rsidRDefault="009F6E31" w:rsidP="007A33FF">
      <w:pPr>
        <w:pStyle w:val="NoSpacing"/>
        <w:jc w:val="both"/>
        <w:rPr>
          <w:sz w:val="24"/>
        </w:rPr>
      </w:pPr>
    </w:p>
    <w:p w:rsidR="00465BD5" w:rsidRPr="00FE3786" w:rsidRDefault="00465BD5" w:rsidP="007A33FF">
      <w:pPr>
        <w:pStyle w:val="NoSpacing"/>
        <w:jc w:val="both"/>
        <w:rPr>
          <w:sz w:val="24"/>
        </w:rPr>
      </w:pPr>
      <w:r w:rsidRPr="00FE3786">
        <w:rPr>
          <w:sz w:val="24"/>
        </w:rPr>
        <w:t xml:space="preserve">These insurance companies are currently providing around 30 types of insurance products across the country.  Health insurance, aviation, personal accident, fire, travel, and motor insurance are seen to be some of the most prominent classes of insurance in the local market.  </w:t>
      </w:r>
    </w:p>
    <w:p w:rsidR="009F6E31" w:rsidRPr="00FE3786" w:rsidRDefault="009F6E31" w:rsidP="007A33FF">
      <w:pPr>
        <w:pStyle w:val="NoSpacing"/>
        <w:jc w:val="both"/>
        <w:rPr>
          <w:sz w:val="24"/>
        </w:rPr>
      </w:pPr>
    </w:p>
    <w:p w:rsidR="00DB2D7F" w:rsidRPr="00FE3786" w:rsidRDefault="00DB2D7F" w:rsidP="007A33FF">
      <w:pPr>
        <w:pStyle w:val="NoSpacing"/>
        <w:jc w:val="both"/>
        <w:rPr>
          <w:sz w:val="24"/>
        </w:rPr>
      </w:pPr>
      <w:r w:rsidRPr="00FE3786">
        <w:rPr>
          <w:sz w:val="24"/>
        </w:rPr>
        <w:t>D</w:t>
      </w:r>
      <w:r w:rsidR="00465BD5" w:rsidRPr="00FE3786">
        <w:rPr>
          <w:sz w:val="24"/>
        </w:rPr>
        <w:t xml:space="preserve">espite </w:t>
      </w:r>
      <w:r w:rsidRPr="00FE3786">
        <w:rPr>
          <w:sz w:val="24"/>
        </w:rPr>
        <w:t xml:space="preserve">the fact that there is a sizeable </w:t>
      </w:r>
      <w:r w:rsidR="00465BD5" w:rsidRPr="00FE3786">
        <w:rPr>
          <w:sz w:val="24"/>
        </w:rPr>
        <w:t>potential</w:t>
      </w:r>
      <w:r w:rsidRPr="00FE3786">
        <w:rPr>
          <w:sz w:val="24"/>
        </w:rPr>
        <w:t xml:space="preserve"> insurance market in the country</w:t>
      </w:r>
      <w:r w:rsidR="00465BD5" w:rsidRPr="00FE3786">
        <w:rPr>
          <w:sz w:val="24"/>
        </w:rPr>
        <w:t xml:space="preserve">, the presence of insurance </w:t>
      </w:r>
      <w:r w:rsidR="00DF0740">
        <w:rPr>
          <w:sz w:val="24"/>
        </w:rPr>
        <w:t xml:space="preserve">companies </w:t>
      </w:r>
      <w:r w:rsidR="00465BD5" w:rsidRPr="00FE3786">
        <w:rPr>
          <w:sz w:val="24"/>
        </w:rPr>
        <w:t xml:space="preserve">and use of insurance services is low. </w:t>
      </w:r>
      <w:r w:rsidR="00DF0740">
        <w:rPr>
          <w:sz w:val="24"/>
        </w:rPr>
        <w:t>In 2019, t</w:t>
      </w:r>
      <w:r w:rsidR="00465BD5" w:rsidRPr="00FE3786">
        <w:rPr>
          <w:sz w:val="24"/>
        </w:rPr>
        <w:t xml:space="preserve">he insurance sector </w:t>
      </w:r>
      <w:r w:rsidR="00DF0740">
        <w:rPr>
          <w:sz w:val="24"/>
        </w:rPr>
        <w:t xml:space="preserve">remained </w:t>
      </w:r>
      <w:r w:rsidR="00465BD5" w:rsidRPr="00FE3786">
        <w:rPr>
          <w:sz w:val="24"/>
        </w:rPr>
        <w:t>mostly (approx</w:t>
      </w:r>
      <w:r w:rsidRPr="00FE3786">
        <w:rPr>
          <w:sz w:val="24"/>
        </w:rPr>
        <w:t xml:space="preserve">imately </w:t>
      </w:r>
      <w:r w:rsidR="00465BD5" w:rsidRPr="00FE3786">
        <w:rPr>
          <w:sz w:val="24"/>
        </w:rPr>
        <w:t xml:space="preserve">65%) </w:t>
      </w:r>
      <w:r w:rsidRPr="00FE3786">
        <w:rPr>
          <w:sz w:val="24"/>
        </w:rPr>
        <w:t xml:space="preserve">concentrated in the </w:t>
      </w:r>
      <w:r w:rsidR="00465BD5" w:rsidRPr="00FE3786">
        <w:rPr>
          <w:sz w:val="24"/>
        </w:rPr>
        <w:t xml:space="preserve">central </w:t>
      </w:r>
      <w:r w:rsidRPr="00FE3786">
        <w:rPr>
          <w:sz w:val="24"/>
        </w:rPr>
        <w:t xml:space="preserve">region of </w:t>
      </w:r>
      <w:r w:rsidR="00465BD5" w:rsidRPr="00FE3786">
        <w:rPr>
          <w:sz w:val="24"/>
        </w:rPr>
        <w:t xml:space="preserve">Afghanistan and mainly </w:t>
      </w:r>
      <w:r w:rsidRPr="00FE3786">
        <w:rPr>
          <w:sz w:val="24"/>
        </w:rPr>
        <w:t xml:space="preserve">the </w:t>
      </w:r>
      <w:r w:rsidR="00465BD5" w:rsidRPr="00FE3786">
        <w:rPr>
          <w:sz w:val="24"/>
        </w:rPr>
        <w:t>capital</w:t>
      </w:r>
      <w:r w:rsidRPr="00FE3786">
        <w:rPr>
          <w:sz w:val="24"/>
        </w:rPr>
        <w:t xml:space="preserve"> city</w:t>
      </w:r>
      <w:r w:rsidR="00465BD5" w:rsidRPr="00FE3786">
        <w:rPr>
          <w:sz w:val="24"/>
        </w:rPr>
        <w:t xml:space="preserve">, with </w:t>
      </w:r>
      <w:r w:rsidRPr="00FE3786">
        <w:rPr>
          <w:sz w:val="24"/>
        </w:rPr>
        <w:t>limited out</w:t>
      </w:r>
      <w:r w:rsidR="00465BD5" w:rsidRPr="00FE3786">
        <w:rPr>
          <w:sz w:val="24"/>
        </w:rPr>
        <w:t xml:space="preserve">reach and penetration </w:t>
      </w:r>
      <w:r w:rsidRPr="00FE3786">
        <w:rPr>
          <w:sz w:val="24"/>
        </w:rPr>
        <w:t xml:space="preserve">in </w:t>
      </w:r>
      <w:r w:rsidR="00465BD5" w:rsidRPr="00FE3786">
        <w:rPr>
          <w:sz w:val="24"/>
        </w:rPr>
        <w:t>the outer regions.</w:t>
      </w:r>
      <w:r w:rsidRPr="00FE3786">
        <w:rPr>
          <w:sz w:val="24"/>
        </w:rPr>
        <w:t xml:space="preserve">  </w:t>
      </w:r>
    </w:p>
    <w:p w:rsidR="00DB2D7F" w:rsidRPr="00FE3786" w:rsidRDefault="00DB2D7F" w:rsidP="007A33FF">
      <w:pPr>
        <w:pStyle w:val="NoSpacing"/>
        <w:jc w:val="both"/>
        <w:rPr>
          <w:sz w:val="24"/>
        </w:rPr>
      </w:pPr>
    </w:p>
    <w:p w:rsidR="00DB2D7F" w:rsidRPr="00FE3786" w:rsidRDefault="00DB2D7F" w:rsidP="007A33FF">
      <w:pPr>
        <w:pStyle w:val="NoSpacing"/>
        <w:jc w:val="both"/>
        <w:rPr>
          <w:sz w:val="24"/>
        </w:rPr>
      </w:pPr>
      <w:r w:rsidRPr="00FE3786">
        <w:rPr>
          <w:sz w:val="24"/>
        </w:rPr>
        <w:t xml:space="preserve">Although, the </w:t>
      </w:r>
      <w:r w:rsidR="00465BD5" w:rsidRPr="00FE3786">
        <w:rPr>
          <w:sz w:val="24"/>
        </w:rPr>
        <w:t xml:space="preserve">insurers </w:t>
      </w:r>
      <w:r w:rsidRPr="00FE3786">
        <w:rPr>
          <w:sz w:val="24"/>
        </w:rPr>
        <w:t xml:space="preserve">tend to show </w:t>
      </w:r>
      <w:r w:rsidR="00465BD5" w:rsidRPr="00FE3786">
        <w:rPr>
          <w:sz w:val="24"/>
        </w:rPr>
        <w:t>hav</w:t>
      </w:r>
      <w:r w:rsidRPr="00FE3786">
        <w:rPr>
          <w:sz w:val="24"/>
        </w:rPr>
        <w:t xml:space="preserve">ing </w:t>
      </w:r>
      <w:r w:rsidR="00465BD5" w:rsidRPr="00FE3786">
        <w:rPr>
          <w:sz w:val="24"/>
        </w:rPr>
        <w:t xml:space="preserve">operations across 24 provinces </w:t>
      </w:r>
      <w:r w:rsidR="000B7FE4" w:rsidRPr="00FE3786">
        <w:rPr>
          <w:sz w:val="24"/>
        </w:rPr>
        <w:t>and</w:t>
      </w:r>
      <w:r w:rsidRPr="00FE3786">
        <w:rPr>
          <w:sz w:val="24"/>
        </w:rPr>
        <w:t xml:space="preserve"> in </w:t>
      </w:r>
      <w:r w:rsidR="00465BD5" w:rsidRPr="00FE3786">
        <w:rPr>
          <w:sz w:val="24"/>
        </w:rPr>
        <w:t>some border areas</w:t>
      </w:r>
      <w:r w:rsidRPr="00FE3786">
        <w:rPr>
          <w:sz w:val="24"/>
        </w:rPr>
        <w:t xml:space="preserve"> of the country</w:t>
      </w:r>
      <w:r w:rsidR="00465BD5" w:rsidRPr="00FE3786">
        <w:rPr>
          <w:sz w:val="24"/>
        </w:rPr>
        <w:t xml:space="preserve">. </w:t>
      </w:r>
      <w:r w:rsidRPr="00FE3786">
        <w:rPr>
          <w:sz w:val="24"/>
        </w:rPr>
        <w:t xml:space="preserve"> Currently, none </w:t>
      </w:r>
      <w:r w:rsidR="00465BD5" w:rsidRPr="00FE3786">
        <w:rPr>
          <w:sz w:val="24"/>
        </w:rPr>
        <w:t xml:space="preserve">of the insurers </w:t>
      </w:r>
      <w:r w:rsidRPr="00FE3786">
        <w:rPr>
          <w:sz w:val="24"/>
        </w:rPr>
        <w:t xml:space="preserve">in Afghanistan is licensed to </w:t>
      </w:r>
      <w:r w:rsidR="00465BD5" w:rsidRPr="00FE3786">
        <w:rPr>
          <w:sz w:val="24"/>
        </w:rPr>
        <w:t>provide</w:t>
      </w:r>
      <w:r w:rsidRPr="00FE3786">
        <w:rPr>
          <w:sz w:val="24"/>
        </w:rPr>
        <w:t xml:space="preserve"> the</w:t>
      </w:r>
      <w:r w:rsidR="00465BD5" w:rsidRPr="00FE3786">
        <w:rPr>
          <w:sz w:val="24"/>
        </w:rPr>
        <w:t xml:space="preserve"> life insurance product. </w:t>
      </w:r>
      <w:r w:rsidR="00744907">
        <w:rPr>
          <w:sz w:val="24"/>
        </w:rPr>
        <w:t xml:space="preserve"> </w:t>
      </w:r>
      <w:r w:rsidR="00465BD5" w:rsidRPr="00FE3786">
        <w:rPr>
          <w:sz w:val="24"/>
        </w:rPr>
        <w:t xml:space="preserve">This is </w:t>
      </w:r>
      <w:r w:rsidRPr="00FE3786">
        <w:rPr>
          <w:sz w:val="24"/>
        </w:rPr>
        <w:t xml:space="preserve">largely due to various influencing </w:t>
      </w:r>
      <w:r w:rsidR="00465BD5" w:rsidRPr="00FE3786">
        <w:rPr>
          <w:sz w:val="24"/>
        </w:rPr>
        <w:t xml:space="preserve">factors, </w:t>
      </w:r>
      <w:r w:rsidRPr="00FE3786">
        <w:rPr>
          <w:sz w:val="24"/>
        </w:rPr>
        <w:t xml:space="preserve">such as the </w:t>
      </w:r>
      <w:r w:rsidR="00465BD5" w:rsidRPr="00FE3786">
        <w:rPr>
          <w:sz w:val="24"/>
        </w:rPr>
        <w:t>lack of public awareness</w:t>
      </w:r>
      <w:r w:rsidRPr="00FE3786">
        <w:rPr>
          <w:sz w:val="24"/>
        </w:rPr>
        <w:t xml:space="preserve"> about insurance</w:t>
      </w:r>
      <w:r w:rsidR="00465BD5" w:rsidRPr="00FE3786">
        <w:rPr>
          <w:sz w:val="24"/>
        </w:rPr>
        <w:t xml:space="preserve">, </w:t>
      </w:r>
      <w:r w:rsidRPr="00FE3786">
        <w:rPr>
          <w:sz w:val="24"/>
        </w:rPr>
        <w:t xml:space="preserve">the </w:t>
      </w:r>
      <w:r w:rsidR="00465BD5" w:rsidRPr="00FE3786">
        <w:rPr>
          <w:sz w:val="24"/>
        </w:rPr>
        <w:t>political instability</w:t>
      </w:r>
      <w:r w:rsidRPr="00FE3786">
        <w:rPr>
          <w:sz w:val="24"/>
        </w:rPr>
        <w:t>,</w:t>
      </w:r>
      <w:r w:rsidR="00465BD5" w:rsidRPr="00FE3786">
        <w:rPr>
          <w:sz w:val="24"/>
        </w:rPr>
        <w:t xml:space="preserve"> and </w:t>
      </w:r>
      <w:r w:rsidRPr="00FE3786">
        <w:rPr>
          <w:sz w:val="24"/>
        </w:rPr>
        <w:t xml:space="preserve">possibly due to non-preference of insurance by some segments of society considering insurance as against their </w:t>
      </w:r>
      <w:r w:rsidR="00465BD5" w:rsidRPr="00FE3786">
        <w:rPr>
          <w:sz w:val="24"/>
        </w:rPr>
        <w:t xml:space="preserve">Islamic </w:t>
      </w:r>
      <w:r w:rsidRPr="00FE3786">
        <w:rPr>
          <w:sz w:val="24"/>
        </w:rPr>
        <w:t xml:space="preserve">beliefs.  </w:t>
      </w:r>
    </w:p>
    <w:p w:rsidR="00DB2D7F" w:rsidRPr="00FE3786" w:rsidRDefault="00DB2D7F" w:rsidP="007A33FF">
      <w:pPr>
        <w:pStyle w:val="NoSpacing"/>
        <w:jc w:val="both"/>
        <w:rPr>
          <w:sz w:val="24"/>
        </w:rPr>
      </w:pPr>
    </w:p>
    <w:p w:rsidR="00FC373C" w:rsidRPr="00FE3786" w:rsidRDefault="00FC373C" w:rsidP="007A33FF">
      <w:pPr>
        <w:pStyle w:val="NoSpacing"/>
        <w:jc w:val="both"/>
        <w:rPr>
          <w:sz w:val="24"/>
        </w:rPr>
      </w:pPr>
      <w:r w:rsidRPr="00FE3786">
        <w:rPr>
          <w:sz w:val="24"/>
        </w:rPr>
        <w:t>The following figure shows th</w:t>
      </w:r>
      <w:r w:rsidR="00672884" w:rsidRPr="00FE3786">
        <w:rPr>
          <w:sz w:val="24"/>
        </w:rPr>
        <w:t xml:space="preserve">e consolidated financial position of country’s insurance sector during </w:t>
      </w:r>
      <w:r w:rsidRPr="00FE3786">
        <w:rPr>
          <w:sz w:val="24"/>
        </w:rPr>
        <w:t xml:space="preserve">last </w:t>
      </w:r>
      <w:r w:rsidR="00672884" w:rsidRPr="00FE3786">
        <w:rPr>
          <w:sz w:val="24"/>
        </w:rPr>
        <w:t xml:space="preserve">four </w:t>
      </w:r>
      <w:r w:rsidRPr="00FE3786">
        <w:rPr>
          <w:sz w:val="24"/>
        </w:rPr>
        <w:t>years.</w:t>
      </w:r>
    </w:p>
    <w:p w:rsidR="009F6E31" w:rsidRPr="00FE3786" w:rsidRDefault="009F6E31" w:rsidP="007D3138">
      <w:pPr>
        <w:spacing w:line="360" w:lineRule="auto"/>
        <w:jc w:val="both"/>
        <w:rPr>
          <w:rFonts w:asciiTheme="majorBidi" w:hAnsiTheme="majorBidi" w:cstheme="majorBidi"/>
          <w:b/>
          <w:bCs/>
          <w:sz w:val="26"/>
        </w:rPr>
      </w:pPr>
    </w:p>
    <w:p w:rsidR="004E6C46" w:rsidRDefault="004E6C46">
      <w:pPr>
        <w:spacing w:after="160" w:line="259" w:lineRule="auto"/>
        <w:rPr>
          <w:b/>
          <w:bCs/>
          <w:color w:val="4F81BD" w:themeColor="accent1"/>
          <w:sz w:val="18"/>
          <w:szCs w:val="18"/>
        </w:rPr>
      </w:pPr>
      <w:r>
        <w:br w:type="page"/>
      </w:r>
    </w:p>
    <w:p w:rsidR="004E6C46" w:rsidRDefault="004E6C46" w:rsidP="004E6C46">
      <w:pPr>
        <w:pStyle w:val="Caption"/>
        <w:jc w:val="center"/>
      </w:pPr>
      <w:r>
        <w:lastRenderedPageBreak/>
        <w:t xml:space="preserve">Figure </w:t>
      </w:r>
      <w:r>
        <w:fldChar w:fldCharType="begin"/>
      </w:r>
      <w:r>
        <w:instrText xml:space="preserve"> SEQ Figure \* ARABIC </w:instrText>
      </w:r>
      <w:r>
        <w:fldChar w:fldCharType="separate"/>
      </w:r>
      <w:r w:rsidR="00D65C8E">
        <w:rPr>
          <w:noProof/>
        </w:rPr>
        <w:t>5</w:t>
      </w:r>
      <w:r>
        <w:fldChar w:fldCharType="end"/>
      </w:r>
      <w:r>
        <w:t xml:space="preserve">: </w:t>
      </w:r>
      <w:r w:rsidRPr="00F83D3C">
        <w:t>Financial Performa</w:t>
      </w:r>
      <w:r>
        <w:t>n</w:t>
      </w:r>
      <w:r w:rsidRPr="00F83D3C">
        <w:t>ce of Insurance Industry in Afghanistan</w:t>
      </w:r>
    </w:p>
    <w:p w:rsidR="003E335B" w:rsidRPr="007A33FF" w:rsidRDefault="00FE54BC" w:rsidP="007A33FF">
      <w:pPr>
        <w:jc w:val="center"/>
      </w:pPr>
      <w:r>
        <w:rPr>
          <w:noProof/>
          <w:lang w:val="en-US" w:eastAsia="en-US"/>
        </w:rPr>
        <w:drawing>
          <wp:inline distT="0" distB="0" distL="0" distR="0" wp14:anchorId="5BF5C107" wp14:editId="2583EC74">
            <wp:extent cx="4572000" cy="2621280"/>
            <wp:effectExtent l="0" t="0" r="19050" b="2667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27B0" w:rsidRPr="003357A5" w:rsidRDefault="006127B0" w:rsidP="007D3138">
      <w:pPr>
        <w:spacing w:line="360" w:lineRule="auto"/>
        <w:jc w:val="both"/>
        <w:rPr>
          <w:rFonts w:asciiTheme="majorBidi" w:hAnsiTheme="majorBidi" w:cstheme="majorBidi"/>
        </w:rPr>
      </w:pPr>
    </w:p>
    <w:p w:rsidR="00FC373C" w:rsidRPr="003357A5" w:rsidRDefault="00FC373C" w:rsidP="007D3138">
      <w:pPr>
        <w:pStyle w:val="ListParagraph"/>
        <w:spacing w:line="360" w:lineRule="auto"/>
        <w:jc w:val="both"/>
        <w:rPr>
          <w:rFonts w:asciiTheme="majorBidi" w:hAnsiTheme="majorBidi" w:cstheme="majorBidi"/>
          <w:sz w:val="6"/>
          <w:szCs w:val="6"/>
        </w:rPr>
      </w:pPr>
    </w:p>
    <w:p w:rsidR="003E335B" w:rsidRDefault="004E6C46" w:rsidP="004E6C46">
      <w:pPr>
        <w:pStyle w:val="Caption"/>
        <w:jc w:val="center"/>
      </w:pPr>
      <w:r>
        <w:t xml:space="preserve">Table </w:t>
      </w:r>
      <w:r>
        <w:fldChar w:fldCharType="begin"/>
      </w:r>
      <w:r>
        <w:instrText xml:space="preserve"> SEQ Table \* ARABIC </w:instrText>
      </w:r>
      <w:r>
        <w:fldChar w:fldCharType="separate"/>
      </w:r>
      <w:r w:rsidR="00D65C8E">
        <w:rPr>
          <w:noProof/>
        </w:rPr>
        <w:t>4</w:t>
      </w:r>
      <w:r>
        <w:fldChar w:fldCharType="end"/>
      </w:r>
      <w:r>
        <w:t xml:space="preserve">: </w:t>
      </w:r>
      <w:r w:rsidRPr="00DC11C7">
        <w:t xml:space="preserve">Key Financial data of </w:t>
      </w:r>
      <w:r>
        <w:t xml:space="preserve">the insurance </w:t>
      </w:r>
      <w:r w:rsidRPr="00DC11C7">
        <w:t>sector</w:t>
      </w:r>
    </w:p>
    <w:tbl>
      <w:tblPr>
        <w:tblStyle w:val="GridTable1Light-Accent51"/>
        <w:tblW w:w="6249" w:type="dxa"/>
        <w:jc w:val="center"/>
        <w:tblLook w:val="04A0" w:firstRow="1" w:lastRow="0" w:firstColumn="1" w:lastColumn="0" w:noHBand="0" w:noVBand="1"/>
      </w:tblPr>
      <w:tblGrid>
        <w:gridCol w:w="1931"/>
        <w:gridCol w:w="1100"/>
        <w:gridCol w:w="1059"/>
        <w:gridCol w:w="1059"/>
        <w:gridCol w:w="1100"/>
      </w:tblGrid>
      <w:tr w:rsidR="003E335B" w:rsidRPr="003E335B" w:rsidTr="00697CA8">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31" w:type="dxa"/>
            <w:noWrap/>
            <w:hideMark/>
          </w:tcPr>
          <w:p w:rsidR="003E335B" w:rsidRPr="007A33FF" w:rsidRDefault="006302BD" w:rsidP="003E335B">
            <w:pPr>
              <w:rPr>
                <w:rFonts w:ascii="Calibri" w:hAnsi="Calibri" w:cs="Calibri"/>
                <w:b w:val="0"/>
                <w:color w:val="000000"/>
              </w:rPr>
            </w:pPr>
            <w:r w:rsidRPr="007A33FF">
              <w:rPr>
                <w:rFonts w:ascii="Calibri" w:hAnsi="Calibri" w:cs="Calibri"/>
                <w:color w:val="000000"/>
                <w:sz w:val="16"/>
              </w:rPr>
              <w:t>(in USD millions)</w:t>
            </w:r>
          </w:p>
        </w:tc>
        <w:tc>
          <w:tcPr>
            <w:tcW w:w="1100" w:type="dxa"/>
            <w:hideMark/>
          </w:tcPr>
          <w:p w:rsidR="003E335B" w:rsidRPr="003E335B" w:rsidRDefault="003E335B" w:rsidP="003E335B">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3E335B">
              <w:rPr>
                <w:rFonts w:ascii="Calibri" w:hAnsi="Calibri" w:cs="Calibri"/>
                <w:color w:val="000000"/>
              </w:rPr>
              <w:t>2015</w:t>
            </w:r>
          </w:p>
        </w:tc>
        <w:tc>
          <w:tcPr>
            <w:tcW w:w="1059" w:type="dxa"/>
            <w:hideMark/>
          </w:tcPr>
          <w:p w:rsidR="003E335B" w:rsidRPr="003E335B" w:rsidRDefault="003E335B" w:rsidP="003E335B">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3E335B">
              <w:rPr>
                <w:rFonts w:ascii="Calibri" w:hAnsi="Calibri" w:cs="Calibri"/>
                <w:color w:val="000000"/>
              </w:rPr>
              <w:t>2016</w:t>
            </w:r>
          </w:p>
        </w:tc>
        <w:tc>
          <w:tcPr>
            <w:tcW w:w="1059" w:type="dxa"/>
            <w:hideMark/>
          </w:tcPr>
          <w:p w:rsidR="003E335B" w:rsidRPr="003E335B" w:rsidRDefault="003E335B" w:rsidP="003E335B">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3E335B">
              <w:rPr>
                <w:rFonts w:ascii="Calibri" w:hAnsi="Calibri" w:cs="Calibri"/>
                <w:color w:val="000000"/>
              </w:rPr>
              <w:t>2017</w:t>
            </w:r>
          </w:p>
        </w:tc>
        <w:tc>
          <w:tcPr>
            <w:tcW w:w="1100" w:type="dxa"/>
            <w:hideMark/>
          </w:tcPr>
          <w:p w:rsidR="003E335B" w:rsidRPr="003E335B" w:rsidRDefault="003E335B" w:rsidP="003E335B">
            <w:pPr>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3E335B">
              <w:rPr>
                <w:rFonts w:ascii="Calibri" w:hAnsi="Calibri" w:cs="Calibri"/>
                <w:color w:val="000000"/>
              </w:rPr>
              <w:t>2018</w:t>
            </w:r>
          </w:p>
        </w:tc>
      </w:tr>
      <w:tr w:rsidR="00FE54BC" w:rsidRPr="003E335B" w:rsidTr="005A3ACB">
        <w:trPr>
          <w:trHeight w:val="300"/>
          <w:jc w:val="center"/>
        </w:trPr>
        <w:tc>
          <w:tcPr>
            <w:cnfStyle w:val="001000000000" w:firstRow="0" w:lastRow="0" w:firstColumn="1" w:lastColumn="0" w:oddVBand="0" w:evenVBand="0" w:oddHBand="0" w:evenHBand="0" w:firstRowFirstColumn="0" w:firstRowLastColumn="0" w:lastRowFirstColumn="0" w:lastRowLastColumn="0"/>
            <w:tcW w:w="1931" w:type="dxa"/>
            <w:hideMark/>
          </w:tcPr>
          <w:p w:rsidR="00FE54BC" w:rsidRPr="003E335B" w:rsidRDefault="00FE54BC" w:rsidP="003E335B">
            <w:pPr>
              <w:jc w:val="both"/>
              <w:rPr>
                <w:rFonts w:ascii="Calibri" w:hAnsi="Calibri" w:cs="Calibri"/>
                <w:color w:val="000000"/>
              </w:rPr>
            </w:pPr>
            <w:r w:rsidRPr="003E335B">
              <w:rPr>
                <w:rFonts w:ascii="Calibri" w:hAnsi="Calibri" w:cs="Calibri"/>
                <w:color w:val="000000"/>
              </w:rPr>
              <w:t>Total assets</w:t>
            </w:r>
          </w:p>
        </w:tc>
        <w:tc>
          <w:tcPr>
            <w:tcW w:w="1100" w:type="dxa"/>
            <w:noWrap/>
            <w:hideMark/>
          </w:tcPr>
          <w:p w:rsidR="00FE54BC" w:rsidRPr="00FE54BC" w:rsidRDefault="00FE54B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26.61</w:t>
            </w:r>
          </w:p>
        </w:tc>
        <w:tc>
          <w:tcPr>
            <w:tcW w:w="1059" w:type="dxa"/>
            <w:hideMark/>
          </w:tcPr>
          <w:p w:rsidR="00FE54BC" w:rsidRPr="00FE54BC" w:rsidRDefault="00FE54B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27.19</w:t>
            </w:r>
          </w:p>
        </w:tc>
        <w:tc>
          <w:tcPr>
            <w:tcW w:w="1059" w:type="dxa"/>
            <w:hideMark/>
          </w:tcPr>
          <w:p w:rsidR="00FE54BC" w:rsidRPr="00FE54BC" w:rsidRDefault="00FE54B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27.19</w:t>
            </w:r>
          </w:p>
        </w:tc>
        <w:tc>
          <w:tcPr>
            <w:tcW w:w="1100" w:type="dxa"/>
            <w:hideMark/>
          </w:tcPr>
          <w:p w:rsidR="00FE54BC" w:rsidRPr="00FE54BC" w:rsidRDefault="00FE54B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28.02</w:t>
            </w:r>
          </w:p>
        </w:tc>
      </w:tr>
      <w:tr w:rsidR="00FE54BC" w:rsidRPr="003E335B" w:rsidTr="005A3ACB">
        <w:trPr>
          <w:trHeight w:val="288"/>
          <w:jc w:val="center"/>
        </w:trPr>
        <w:tc>
          <w:tcPr>
            <w:cnfStyle w:val="001000000000" w:firstRow="0" w:lastRow="0" w:firstColumn="1" w:lastColumn="0" w:oddVBand="0" w:evenVBand="0" w:oddHBand="0" w:evenHBand="0" w:firstRowFirstColumn="0" w:firstRowLastColumn="0" w:lastRowFirstColumn="0" w:lastRowLastColumn="0"/>
            <w:tcW w:w="1931" w:type="dxa"/>
            <w:hideMark/>
          </w:tcPr>
          <w:p w:rsidR="00FE54BC" w:rsidRPr="003E335B" w:rsidRDefault="00FE54BC" w:rsidP="003E335B">
            <w:pPr>
              <w:jc w:val="both"/>
              <w:rPr>
                <w:rFonts w:ascii="Calibri" w:hAnsi="Calibri" w:cs="Calibri"/>
                <w:color w:val="000000"/>
              </w:rPr>
            </w:pPr>
            <w:r w:rsidRPr="0098599C">
              <w:rPr>
                <w:rFonts w:ascii="Calibri" w:hAnsi="Calibri" w:cs="Calibri"/>
                <w:b w:val="0"/>
                <w:color w:val="000000"/>
              </w:rPr>
              <w:t>Growth rate</w:t>
            </w:r>
          </w:p>
        </w:tc>
        <w:tc>
          <w:tcPr>
            <w:tcW w:w="1100" w:type="dxa"/>
            <w:noWrap/>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 </w:t>
            </w:r>
          </w:p>
        </w:tc>
        <w:tc>
          <w:tcPr>
            <w:tcW w:w="1059" w:type="dxa"/>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2%</w:t>
            </w:r>
          </w:p>
        </w:tc>
        <w:tc>
          <w:tcPr>
            <w:tcW w:w="1059" w:type="dxa"/>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0%</w:t>
            </w:r>
          </w:p>
        </w:tc>
        <w:tc>
          <w:tcPr>
            <w:tcW w:w="1100" w:type="dxa"/>
            <w:hideMark/>
          </w:tcPr>
          <w:p w:rsidR="00FE54BC" w:rsidRPr="00FE54BC" w:rsidRDefault="00FE54BC" w:rsidP="007A33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3%</w:t>
            </w:r>
          </w:p>
        </w:tc>
      </w:tr>
      <w:tr w:rsidR="00FE54BC" w:rsidRPr="003E335B" w:rsidTr="005A3ACB">
        <w:trPr>
          <w:trHeight w:val="288"/>
          <w:jc w:val="center"/>
        </w:trPr>
        <w:tc>
          <w:tcPr>
            <w:cnfStyle w:val="001000000000" w:firstRow="0" w:lastRow="0" w:firstColumn="1" w:lastColumn="0" w:oddVBand="0" w:evenVBand="0" w:oddHBand="0" w:evenHBand="0" w:firstRowFirstColumn="0" w:firstRowLastColumn="0" w:lastRowFirstColumn="0" w:lastRowLastColumn="0"/>
            <w:tcW w:w="1931" w:type="dxa"/>
          </w:tcPr>
          <w:p w:rsidR="00FE54BC" w:rsidRPr="003E335B" w:rsidRDefault="00FE54BC" w:rsidP="003E335B">
            <w:pPr>
              <w:jc w:val="both"/>
              <w:rPr>
                <w:rFonts w:ascii="Calibri" w:hAnsi="Calibri" w:cs="Calibri"/>
                <w:color w:val="000000"/>
              </w:rPr>
            </w:pPr>
          </w:p>
        </w:tc>
        <w:tc>
          <w:tcPr>
            <w:tcW w:w="1100" w:type="dxa"/>
            <w:noWrap/>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 </w:t>
            </w:r>
          </w:p>
        </w:tc>
        <w:tc>
          <w:tcPr>
            <w:tcW w:w="1059" w:type="dxa"/>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 </w:t>
            </w:r>
          </w:p>
        </w:tc>
        <w:tc>
          <w:tcPr>
            <w:tcW w:w="1059" w:type="dxa"/>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 </w:t>
            </w:r>
          </w:p>
        </w:tc>
        <w:tc>
          <w:tcPr>
            <w:tcW w:w="1100" w:type="dxa"/>
          </w:tcPr>
          <w:p w:rsidR="00FE54BC" w:rsidRPr="00FE54BC" w:rsidRDefault="00FE54BC" w:rsidP="003E33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 </w:t>
            </w:r>
          </w:p>
        </w:tc>
      </w:tr>
      <w:tr w:rsidR="00FE54BC" w:rsidRPr="006D66B9" w:rsidTr="005A3ACB">
        <w:trPr>
          <w:trHeight w:val="257"/>
          <w:jc w:val="center"/>
        </w:trPr>
        <w:tc>
          <w:tcPr>
            <w:cnfStyle w:val="001000000000" w:firstRow="0" w:lastRow="0" w:firstColumn="1" w:lastColumn="0" w:oddVBand="0" w:evenVBand="0" w:oddHBand="0" w:evenHBand="0" w:firstRowFirstColumn="0" w:firstRowLastColumn="0" w:lastRowFirstColumn="0" w:lastRowLastColumn="0"/>
            <w:tcW w:w="1931" w:type="dxa"/>
            <w:hideMark/>
          </w:tcPr>
          <w:p w:rsidR="00FE54BC" w:rsidRPr="003E335B" w:rsidRDefault="00FE54BC" w:rsidP="003E335B">
            <w:pPr>
              <w:jc w:val="both"/>
              <w:rPr>
                <w:rFonts w:ascii="Calibri" w:hAnsi="Calibri" w:cs="Calibri"/>
                <w:color w:val="000000"/>
              </w:rPr>
            </w:pPr>
            <w:r w:rsidRPr="003E335B">
              <w:rPr>
                <w:rFonts w:ascii="Calibri" w:hAnsi="Calibri" w:cs="Calibri"/>
                <w:color w:val="000000"/>
              </w:rPr>
              <w:t xml:space="preserve">Total equity </w:t>
            </w:r>
          </w:p>
        </w:tc>
        <w:tc>
          <w:tcPr>
            <w:tcW w:w="1100" w:type="dxa"/>
            <w:hideMark/>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20.48</w:t>
            </w:r>
          </w:p>
        </w:tc>
        <w:tc>
          <w:tcPr>
            <w:tcW w:w="1059" w:type="dxa"/>
            <w:hideMark/>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19.46</w:t>
            </w:r>
          </w:p>
        </w:tc>
        <w:tc>
          <w:tcPr>
            <w:tcW w:w="1059" w:type="dxa"/>
            <w:hideMark/>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20.40</w:t>
            </w:r>
          </w:p>
        </w:tc>
        <w:tc>
          <w:tcPr>
            <w:tcW w:w="1100" w:type="dxa"/>
            <w:hideMark/>
          </w:tcPr>
          <w:p w:rsidR="00FE54BC" w:rsidRPr="00FE54BC" w:rsidRDefault="00FE54BC" w:rsidP="006D66B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20.56</w:t>
            </w:r>
          </w:p>
        </w:tc>
      </w:tr>
      <w:tr w:rsidR="00FE54BC" w:rsidRPr="003E335B" w:rsidTr="005A3ACB">
        <w:trPr>
          <w:trHeight w:val="288"/>
          <w:jc w:val="center"/>
        </w:trPr>
        <w:tc>
          <w:tcPr>
            <w:cnfStyle w:val="001000000000" w:firstRow="0" w:lastRow="0" w:firstColumn="1" w:lastColumn="0" w:oddVBand="0" w:evenVBand="0" w:oddHBand="0" w:evenHBand="0" w:firstRowFirstColumn="0" w:firstRowLastColumn="0" w:lastRowFirstColumn="0" w:lastRowLastColumn="0"/>
            <w:tcW w:w="1931" w:type="dxa"/>
            <w:hideMark/>
          </w:tcPr>
          <w:p w:rsidR="00FE54BC" w:rsidRPr="003E335B" w:rsidRDefault="00FE54BC" w:rsidP="003E335B">
            <w:pPr>
              <w:jc w:val="both"/>
              <w:rPr>
                <w:rFonts w:ascii="Calibri" w:hAnsi="Calibri" w:cs="Calibri"/>
                <w:color w:val="000000"/>
              </w:rPr>
            </w:pPr>
            <w:r w:rsidRPr="0098599C">
              <w:rPr>
                <w:rFonts w:ascii="Calibri" w:hAnsi="Calibri" w:cs="Calibri"/>
                <w:b w:val="0"/>
                <w:color w:val="000000"/>
              </w:rPr>
              <w:t>Growth rate</w:t>
            </w:r>
          </w:p>
        </w:tc>
        <w:tc>
          <w:tcPr>
            <w:tcW w:w="1100" w:type="dxa"/>
            <w:noWrap/>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 </w:t>
            </w:r>
          </w:p>
        </w:tc>
        <w:tc>
          <w:tcPr>
            <w:tcW w:w="1059" w:type="dxa"/>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-5%</w:t>
            </w:r>
          </w:p>
        </w:tc>
        <w:tc>
          <w:tcPr>
            <w:tcW w:w="1059" w:type="dxa"/>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5%</w:t>
            </w:r>
          </w:p>
        </w:tc>
        <w:tc>
          <w:tcPr>
            <w:tcW w:w="1100" w:type="dxa"/>
            <w:hideMark/>
          </w:tcPr>
          <w:p w:rsidR="00FE54BC" w:rsidRPr="00FE54BC" w:rsidRDefault="00FE54BC" w:rsidP="007A33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1%</w:t>
            </w:r>
          </w:p>
        </w:tc>
      </w:tr>
      <w:tr w:rsidR="00FE54BC" w:rsidRPr="003E335B" w:rsidTr="005A3ACB">
        <w:trPr>
          <w:trHeight w:val="288"/>
          <w:jc w:val="center"/>
        </w:trPr>
        <w:tc>
          <w:tcPr>
            <w:cnfStyle w:val="001000000000" w:firstRow="0" w:lastRow="0" w:firstColumn="1" w:lastColumn="0" w:oddVBand="0" w:evenVBand="0" w:oddHBand="0" w:evenHBand="0" w:firstRowFirstColumn="0" w:firstRowLastColumn="0" w:lastRowFirstColumn="0" w:lastRowLastColumn="0"/>
            <w:tcW w:w="1931" w:type="dxa"/>
          </w:tcPr>
          <w:p w:rsidR="00FE54BC" w:rsidRPr="003E335B" w:rsidRDefault="00FE54BC" w:rsidP="003E335B">
            <w:pPr>
              <w:jc w:val="both"/>
              <w:rPr>
                <w:rFonts w:ascii="Calibri" w:hAnsi="Calibri" w:cs="Calibri"/>
                <w:color w:val="000000"/>
              </w:rPr>
            </w:pPr>
          </w:p>
        </w:tc>
        <w:tc>
          <w:tcPr>
            <w:tcW w:w="1100" w:type="dxa"/>
            <w:noWrap/>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 </w:t>
            </w:r>
          </w:p>
        </w:tc>
        <w:tc>
          <w:tcPr>
            <w:tcW w:w="1059" w:type="dxa"/>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 </w:t>
            </w:r>
          </w:p>
        </w:tc>
        <w:tc>
          <w:tcPr>
            <w:tcW w:w="1059" w:type="dxa"/>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 </w:t>
            </w:r>
          </w:p>
        </w:tc>
        <w:tc>
          <w:tcPr>
            <w:tcW w:w="1100" w:type="dxa"/>
          </w:tcPr>
          <w:p w:rsidR="00FE54BC" w:rsidRPr="00FE54BC" w:rsidRDefault="00FE54BC" w:rsidP="003E335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 </w:t>
            </w:r>
          </w:p>
        </w:tc>
      </w:tr>
      <w:tr w:rsidR="00FE54BC" w:rsidRPr="003E335B" w:rsidTr="005A3ACB">
        <w:trPr>
          <w:trHeight w:val="237"/>
          <w:jc w:val="center"/>
        </w:trPr>
        <w:tc>
          <w:tcPr>
            <w:cnfStyle w:val="001000000000" w:firstRow="0" w:lastRow="0" w:firstColumn="1" w:lastColumn="0" w:oddVBand="0" w:evenVBand="0" w:oddHBand="0" w:evenHBand="0" w:firstRowFirstColumn="0" w:firstRowLastColumn="0" w:lastRowFirstColumn="0" w:lastRowLastColumn="0"/>
            <w:tcW w:w="1931" w:type="dxa"/>
            <w:hideMark/>
          </w:tcPr>
          <w:p w:rsidR="00FE54BC" w:rsidRPr="003E335B" w:rsidRDefault="00FE54BC" w:rsidP="003E335B">
            <w:pPr>
              <w:jc w:val="both"/>
              <w:rPr>
                <w:rFonts w:ascii="Calibri" w:hAnsi="Calibri" w:cs="Calibri"/>
                <w:color w:val="000000"/>
              </w:rPr>
            </w:pPr>
            <w:r w:rsidRPr="003E335B">
              <w:rPr>
                <w:rFonts w:ascii="Calibri" w:hAnsi="Calibri" w:cs="Calibri"/>
                <w:color w:val="000000"/>
              </w:rPr>
              <w:t>Total liabilities</w:t>
            </w:r>
          </w:p>
        </w:tc>
        <w:tc>
          <w:tcPr>
            <w:tcW w:w="1100" w:type="dxa"/>
            <w:hideMark/>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8.93</w:t>
            </w:r>
          </w:p>
        </w:tc>
        <w:tc>
          <w:tcPr>
            <w:tcW w:w="1059" w:type="dxa"/>
            <w:hideMark/>
          </w:tcPr>
          <w:p w:rsidR="00FE54BC" w:rsidRPr="00FE54BC" w:rsidRDefault="00FE54BC" w:rsidP="00363EA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10.53</w:t>
            </w:r>
          </w:p>
        </w:tc>
        <w:tc>
          <w:tcPr>
            <w:tcW w:w="1059" w:type="dxa"/>
            <w:hideMark/>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9.60</w:t>
            </w:r>
          </w:p>
        </w:tc>
        <w:tc>
          <w:tcPr>
            <w:tcW w:w="1100" w:type="dxa"/>
            <w:hideMark/>
          </w:tcPr>
          <w:p w:rsidR="00FE54BC" w:rsidRPr="00FE54BC" w:rsidRDefault="00FE54BC" w:rsidP="006D66B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10.27</w:t>
            </w:r>
          </w:p>
        </w:tc>
      </w:tr>
      <w:tr w:rsidR="00FE54BC" w:rsidRPr="003E335B" w:rsidTr="005A3ACB">
        <w:trPr>
          <w:trHeight w:val="288"/>
          <w:jc w:val="center"/>
        </w:trPr>
        <w:tc>
          <w:tcPr>
            <w:cnfStyle w:val="001000000000" w:firstRow="0" w:lastRow="0" w:firstColumn="1" w:lastColumn="0" w:oddVBand="0" w:evenVBand="0" w:oddHBand="0" w:evenHBand="0" w:firstRowFirstColumn="0" w:firstRowLastColumn="0" w:lastRowFirstColumn="0" w:lastRowLastColumn="0"/>
            <w:tcW w:w="1931" w:type="dxa"/>
            <w:noWrap/>
            <w:hideMark/>
          </w:tcPr>
          <w:p w:rsidR="00FE54BC" w:rsidRPr="003E335B" w:rsidRDefault="00FE54BC" w:rsidP="003E335B">
            <w:pPr>
              <w:rPr>
                <w:rFonts w:ascii="Calibri" w:hAnsi="Calibri" w:cs="Calibri"/>
                <w:color w:val="000000"/>
              </w:rPr>
            </w:pPr>
            <w:r w:rsidRPr="0098599C">
              <w:rPr>
                <w:rFonts w:ascii="Calibri" w:hAnsi="Calibri" w:cs="Calibri"/>
                <w:b w:val="0"/>
                <w:color w:val="000000"/>
              </w:rPr>
              <w:t>Growth rate</w:t>
            </w:r>
          </w:p>
        </w:tc>
        <w:tc>
          <w:tcPr>
            <w:tcW w:w="1100" w:type="dxa"/>
            <w:noWrap/>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 </w:t>
            </w:r>
          </w:p>
        </w:tc>
        <w:tc>
          <w:tcPr>
            <w:tcW w:w="1059" w:type="dxa"/>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18%</w:t>
            </w:r>
          </w:p>
        </w:tc>
        <w:tc>
          <w:tcPr>
            <w:tcW w:w="1059" w:type="dxa"/>
          </w:tcPr>
          <w:p w:rsidR="00FE54BC" w:rsidRPr="00FE54BC" w:rsidRDefault="00FE54BC" w:rsidP="003E335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-9%</w:t>
            </w:r>
          </w:p>
        </w:tc>
        <w:tc>
          <w:tcPr>
            <w:tcW w:w="1100" w:type="dxa"/>
            <w:noWrap/>
            <w:hideMark/>
          </w:tcPr>
          <w:p w:rsidR="00FE54BC" w:rsidRPr="00FE54BC" w:rsidRDefault="00FE54BC" w:rsidP="007A33F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4BC">
              <w:rPr>
                <w:rFonts w:asciiTheme="minorHAnsi" w:hAnsiTheme="minorHAnsi" w:cstheme="minorHAnsi"/>
                <w:color w:val="000000"/>
                <w:sz w:val="22"/>
                <w:szCs w:val="22"/>
              </w:rPr>
              <w:t>7%</w:t>
            </w:r>
          </w:p>
        </w:tc>
      </w:tr>
    </w:tbl>
    <w:p w:rsidR="003E335B" w:rsidRDefault="003E335B" w:rsidP="007A33FF">
      <w:pPr>
        <w:spacing w:after="160" w:line="259" w:lineRule="auto"/>
      </w:pPr>
    </w:p>
    <w:p w:rsidR="00523823" w:rsidRPr="00DF0740" w:rsidRDefault="00DF0740" w:rsidP="00DF0740">
      <w:pPr>
        <w:pStyle w:val="NoSpacing"/>
        <w:rPr>
          <w:sz w:val="24"/>
        </w:rPr>
      </w:pPr>
      <w:r w:rsidRPr="00DF0740">
        <w:rPr>
          <w:sz w:val="24"/>
        </w:rPr>
        <w:t>The total assets of the insurance industry in Afghanistan</w:t>
      </w:r>
      <w:r>
        <w:rPr>
          <w:sz w:val="24"/>
        </w:rPr>
        <w:t xml:space="preserve"> </w:t>
      </w:r>
      <w:r w:rsidR="00B7522D">
        <w:rPr>
          <w:sz w:val="24"/>
        </w:rPr>
        <w:t>have increased from USD 26.61 million</w:t>
      </w:r>
      <w:r w:rsidR="00085318">
        <w:rPr>
          <w:sz w:val="24"/>
        </w:rPr>
        <w:t xml:space="preserve"> in 2015</w:t>
      </w:r>
      <w:r w:rsidR="00744907">
        <w:rPr>
          <w:sz w:val="24"/>
        </w:rPr>
        <w:t xml:space="preserve"> to USD 28.02</w:t>
      </w:r>
      <w:r w:rsidR="00B7522D">
        <w:rPr>
          <w:sz w:val="24"/>
        </w:rPr>
        <w:t xml:space="preserve"> million in 20</w:t>
      </w:r>
      <w:r w:rsidR="00744907">
        <w:rPr>
          <w:sz w:val="24"/>
        </w:rPr>
        <w:t>18, with an annual increase of 3</w:t>
      </w:r>
      <w:r w:rsidR="00B7522D">
        <w:rPr>
          <w:sz w:val="24"/>
        </w:rPr>
        <w:t>% in 2017-18.</w:t>
      </w:r>
    </w:p>
    <w:p w:rsidR="004E6C46" w:rsidRDefault="004E6C46">
      <w:pPr>
        <w:spacing w:after="160" w:line="259" w:lineRule="auto"/>
        <w:rPr>
          <w:b/>
          <w:bCs/>
          <w:color w:val="4F81BD" w:themeColor="accent1"/>
          <w:sz w:val="18"/>
          <w:szCs w:val="18"/>
        </w:rPr>
      </w:pPr>
      <w:r>
        <w:br w:type="page"/>
      </w:r>
    </w:p>
    <w:p w:rsidR="00521345" w:rsidRDefault="00521345" w:rsidP="00521345">
      <w:pPr>
        <w:pStyle w:val="Caption"/>
        <w:jc w:val="center"/>
        <w:rPr>
          <w:rFonts w:asciiTheme="majorBidi" w:hAnsiTheme="majorBidi" w:cstheme="majorBidi"/>
        </w:rPr>
      </w:pPr>
      <w:r>
        <w:lastRenderedPageBreak/>
        <w:t xml:space="preserve">Figure </w:t>
      </w:r>
      <w:r>
        <w:fldChar w:fldCharType="begin"/>
      </w:r>
      <w:r>
        <w:instrText xml:space="preserve"> SEQ Figure \* ARABIC </w:instrText>
      </w:r>
      <w:r>
        <w:fldChar w:fldCharType="separate"/>
      </w:r>
      <w:r w:rsidR="00D65C8E">
        <w:rPr>
          <w:noProof/>
        </w:rPr>
        <w:t>6</w:t>
      </w:r>
      <w:r>
        <w:fldChar w:fldCharType="end"/>
      </w:r>
      <w:r>
        <w:t xml:space="preserve">: </w:t>
      </w:r>
      <w:r w:rsidRPr="00915569">
        <w:t>Insurance Industry Performance Indicators in Afghanistan</w:t>
      </w:r>
    </w:p>
    <w:p w:rsidR="005814B4" w:rsidRDefault="00FE54BC" w:rsidP="007A33FF">
      <w:pPr>
        <w:tabs>
          <w:tab w:val="left" w:pos="10350"/>
          <w:tab w:val="left" w:pos="10800"/>
        </w:tabs>
        <w:spacing w:line="360" w:lineRule="auto"/>
        <w:jc w:val="center"/>
        <w:rPr>
          <w:rFonts w:asciiTheme="majorBidi" w:hAnsiTheme="majorBidi" w:cstheme="majorBidi"/>
        </w:rPr>
      </w:pPr>
      <w:r>
        <w:rPr>
          <w:noProof/>
          <w:lang w:val="en-US" w:eastAsia="en-US"/>
        </w:rPr>
        <w:drawing>
          <wp:inline distT="0" distB="0" distL="0" distR="0" wp14:anchorId="1458EC3D" wp14:editId="5112E65F">
            <wp:extent cx="4572000" cy="2743200"/>
            <wp:effectExtent l="0" t="0" r="1905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814B4" w:rsidRDefault="005814B4">
      <w:pPr>
        <w:rPr>
          <w:rFonts w:asciiTheme="majorBidi" w:hAnsiTheme="majorBidi" w:cstheme="majorBidi"/>
          <w:color w:val="4F81BD" w:themeColor="accent1"/>
        </w:rPr>
      </w:pPr>
    </w:p>
    <w:p w:rsidR="004E08A0" w:rsidRDefault="00521345" w:rsidP="00521345">
      <w:pPr>
        <w:pStyle w:val="Caption"/>
        <w:jc w:val="center"/>
        <w:rPr>
          <w:noProof/>
        </w:rPr>
      </w:pPr>
      <w:r>
        <w:t xml:space="preserve">Table </w:t>
      </w:r>
      <w:r>
        <w:fldChar w:fldCharType="begin"/>
      </w:r>
      <w:r>
        <w:instrText xml:space="preserve"> SEQ Table \* ARABIC </w:instrText>
      </w:r>
      <w:r>
        <w:fldChar w:fldCharType="separate"/>
      </w:r>
      <w:r w:rsidR="00D65C8E">
        <w:rPr>
          <w:noProof/>
        </w:rPr>
        <w:t>5</w:t>
      </w:r>
      <w:r>
        <w:fldChar w:fldCharType="end"/>
      </w:r>
      <w:r>
        <w:t xml:space="preserve">: </w:t>
      </w:r>
      <w:r w:rsidRPr="00434E78">
        <w:t xml:space="preserve">Key </w:t>
      </w:r>
      <w:r>
        <w:t>indicators of insurance industry in Afghanistan</w:t>
      </w:r>
    </w:p>
    <w:tbl>
      <w:tblPr>
        <w:tblStyle w:val="GridTable1Light-Accent51"/>
        <w:tblW w:w="6206" w:type="dxa"/>
        <w:jc w:val="center"/>
        <w:tblLook w:val="04A0" w:firstRow="1" w:lastRow="0" w:firstColumn="1" w:lastColumn="0" w:noHBand="0" w:noVBand="1"/>
      </w:tblPr>
      <w:tblGrid>
        <w:gridCol w:w="1946"/>
        <w:gridCol w:w="960"/>
        <w:gridCol w:w="1100"/>
        <w:gridCol w:w="1100"/>
        <w:gridCol w:w="1100"/>
      </w:tblGrid>
      <w:tr w:rsidR="005814B4" w:rsidRPr="00521345" w:rsidTr="007A33F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46" w:type="dxa"/>
            <w:noWrap/>
            <w:hideMark/>
          </w:tcPr>
          <w:p w:rsidR="005814B4" w:rsidRPr="00521345" w:rsidRDefault="005814B4" w:rsidP="005814B4">
            <w:pPr>
              <w:rPr>
                <w:rFonts w:asciiTheme="minorHAnsi" w:hAnsiTheme="minorHAnsi" w:cstheme="minorHAnsi"/>
                <w:color w:val="000000"/>
                <w:sz w:val="22"/>
                <w:szCs w:val="18"/>
              </w:rPr>
            </w:pPr>
            <w:r w:rsidRPr="00521345">
              <w:rPr>
                <w:rFonts w:asciiTheme="minorHAnsi" w:hAnsiTheme="minorHAnsi" w:cstheme="minorHAnsi"/>
                <w:b w:val="0"/>
                <w:color w:val="000000"/>
                <w:sz w:val="22"/>
                <w:szCs w:val="18"/>
              </w:rPr>
              <w:t>(in USD millions)</w:t>
            </w:r>
          </w:p>
        </w:tc>
        <w:tc>
          <w:tcPr>
            <w:tcW w:w="960" w:type="dxa"/>
            <w:noWrap/>
            <w:hideMark/>
          </w:tcPr>
          <w:p w:rsidR="005814B4" w:rsidRPr="00521345" w:rsidRDefault="005814B4" w:rsidP="005814B4">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18"/>
              </w:rPr>
            </w:pPr>
            <w:r w:rsidRPr="00521345">
              <w:rPr>
                <w:rFonts w:asciiTheme="minorHAnsi" w:hAnsiTheme="minorHAnsi" w:cstheme="minorHAnsi"/>
                <w:color w:val="000000"/>
                <w:sz w:val="22"/>
                <w:szCs w:val="18"/>
              </w:rPr>
              <w:t>2015</w:t>
            </w:r>
          </w:p>
        </w:tc>
        <w:tc>
          <w:tcPr>
            <w:tcW w:w="1100" w:type="dxa"/>
            <w:noWrap/>
            <w:hideMark/>
          </w:tcPr>
          <w:p w:rsidR="005814B4" w:rsidRPr="00521345" w:rsidRDefault="005814B4" w:rsidP="005814B4">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18"/>
              </w:rPr>
            </w:pPr>
            <w:r w:rsidRPr="00521345">
              <w:rPr>
                <w:rFonts w:asciiTheme="minorHAnsi" w:hAnsiTheme="minorHAnsi" w:cstheme="minorHAnsi"/>
                <w:color w:val="000000"/>
                <w:sz w:val="22"/>
                <w:szCs w:val="18"/>
              </w:rPr>
              <w:t>2016</w:t>
            </w:r>
          </w:p>
        </w:tc>
        <w:tc>
          <w:tcPr>
            <w:tcW w:w="1100" w:type="dxa"/>
            <w:noWrap/>
            <w:hideMark/>
          </w:tcPr>
          <w:p w:rsidR="005814B4" w:rsidRPr="00521345" w:rsidRDefault="005814B4" w:rsidP="005814B4">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18"/>
              </w:rPr>
            </w:pPr>
            <w:r w:rsidRPr="00521345">
              <w:rPr>
                <w:rFonts w:asciiTheme="minorHAnsi" w:hAnsiTheme="minorHAnsi" w:cstheme="minorHAnsi"/>
                <w:color w:val="000000"/>
                <w:sz w:val="22"/>
                <w:szCs w:val="18"/>
              </w:rPr>
              <w:t>2017</w:t>
            </w:r>
          </w:p>
        </w:tc>
        <w:tc>
          <w:tcPr>
            <w:tcW w:w="1100" w:type="dxa"/>
            <w:noWrap/>
            <w:hideMark/>
          </w:tcPr>
          <w:p w:rsidR="005814B4" w:rsidRPr="00521345" w:rsidRDefault="005814B4" w:rsidP="005814B4">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18"/>
              </w:rPr>
            </w:pPr>
            <w:r w:rsidRPr="00521345">
              <w:rPr>
                <w:rFonts w:asciiTheme="minorHAnsi" w:hAnsiTheme="minorHAnsi" w:cstheme="minorHAnsi"/>
                <w:color w:val="000000"/>
                <w:sz w:val="22"/>
                <w:szCs w:val="18"/>
              </w:rPr>
              <w:t>2018</w:t>
            </w:r>
          </w:p>
        </w:tc>
      </w:tr>
      <w:tr w:rsidR="00FE54BC" w:rsidRPr="00521345" w:rsidTr="005A3ACB">
        <w:trPr>
          <w:trHeight w:val="378"/>
          <w:jc w:val="center"/>
        </w:trPr>
        <w:tc>
          <w:tcPr>
            <w:cnfStyle w:val="001000000000" w:firstRow="0" w:lastRow="0" w:firstColumn="1" w:lastColumn="0" w:oddVBand="0" w:evenVBand="0" w:oddHBand="0" w:evenHBand="0" w:firstRowFirstColumn="0" w:firstRowLastColumn="0" w:lastRowFirstColumn="0" w:lastRowLastColumn="0"/>
            <w:tcW w:w="1946" w:type="dxa"/>
            <w:hideMark/>
          </w:tcPr>
          <w:p w:rsidR="00FE54BC" w:rsidRPr="00521345" w:rsidRDefault="00FE54BC" w:rsidP="005814B4">
            <w:pPr>
              <w:jc w:val="both"/>
              <w:rPr>
                <w:rFonts w:asciiTheme="minorHAnsi" w:hAnsiTheme="minorHAnsi" w:cstheme="minorHAnsi"/>
                <w:color w:val="000000"/>
                <w:sz w:val="22"/>
                <w:szCs w:val="18"/>
              </w:rPr>
            </w:pPr>
            <w:r w:rsidRPr="00521345">
              <w:rPr>
                <w:rFonts w:asciiTheme="minorHAnsi" w:hAnsiTheme="minorHAnsi" w:cstheme="minorHAnsi"/>
                <w:color w:val="000000"/>
                <w:sz w:val="22"/>
                <w:szCs w:val="18"/>
              </w:rPr>
              <w:t xml:space="preserve">Gross Premium </w:t>
            </w:r>
          </w:p>
        </w:tc>
        <w:tc>
          <w:tcPr>
            <w:tcW w:w="96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9.59</w:t>
            </w:r>
          </w:p>
        </w:tc>
        <w:tc>
          <w:tcPr>
            <w:tcW w:w="110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12.91</w:t>
            </w:r>
          </w:p>
        </w:tc>
        <w:tc>
          <w:tcPr>
            <w:tcW w:w="110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12.16</w:t>
            </w:r>
          </w:p>
        </w:tc>
        <w:tc>
          <w:tcPr>
            <w:tcW w:w="1100" w:type="dxa"/>
            <w:vAlign w:val="bottom"/>
            <w:hideMark/>
          </w:tcPr>
          <w:p w:rsidR="00FE54BC" w:rsidRPr="00201E88" w:rsidRDefault="00FE54BC" w:rsidP="006343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16.54</w:t>
            </w:r>
          </w:p>
        </w:tc>
      </w:tr>
      <w:tr w:rsidR="00FE54BC" w:rsidRPr="00521345" w:rsidTr="005A3ACB">
        <w:trPr>
          <w:trHeight w:val="312"/>
          <w:jc w:val="center"/>
        </w:trPr>
        <w:tc>
          <w:tcPr>
            <w:cnfStyle w:val="001000000000" w:firstRow="0" w:lastRow="0" w:firstColumn="1" w:lastColumn="0" w:oddVBand="0" w:evenVBand="0" w:oddHBand="0" w:evenHBand="0" w:firstRowFirstColumn="0" w:firstRowLastColumn="0" w:lastRowFirstColumn="0" w:lastRowLastColumn="0"/>
            <w:tcW w:w="1946" w:type="dxa"/>
            <w:hideMark/>
          </w:tcPr>
          <w:p w:rsidR="00FE54BC" w:rsidRPr="00521345" w:rsidRDefault="00FE54BC" w:rsidP="005814B4">
            <w:pPr>
              <w:jc w:val="both"/>
              <w:rPr>
                <w:rFonts w:asciiTheme="minorHAnsi" w:hAnsiTheme="minorHAnsi" w:cstheme="minorHAnsi"/>
                <w:b w:val="0"/>
                <w:color w:val="000000"/>
                <w:sz w:val="22"/>
                <w:szCs w:val="18"/>
              </w:rPr>
            </w:pPr>
            <w:r w:rsidRPr="00521345">
              <w:rPr>
                <w:rFonts w:asciiTheme="minorHAnsi" w:hAnsiTheme="minorHAnsi" w:cstheme="minorHAnsi"/>
                <w:b w:val="0"/>
                <w:color w:val="000000"/>
                <w:sz w:val="22"/>
                <w:szCs w:val="18"/>
              </w:rPr>
              <w:t>Growth rate</w:t>
            </w:r>
          </w:p>
        </w:tc>
        <w:tc>
          <w:tcPr>
            <w:tcW w:w="96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p>
        </w:tc>
        <w:tc>
          <w:tcPr>
            <w:tcW w:w="110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35%</w:t>
            </w:r>
          </w:p>
        </w:tc>
        <w:tc>
          <w:tcPr>
            <w:tcW w:w="110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-6%</w:t>
            </w:r>
          </w:p>
        </w:tc>
        <w:tc>
          <w:tcPr>
            <w:tcW w:w="110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36%</w:t>
            </w:r>
          </w:p>
        </w:tc>
      </w:tr>
      <w:tr w:rsidR="00FE54BC" w:rsidRPr="00521345" w:rsidTr="005A3ACB">
        <w:trPr>
          <w:trHeight w:val="312"/>
          <w:jc w:val="center"/>
        </w:trPr>
        <w:tc>
          <w:tcPr>
            <w:cnfStyle w:val="001000000000" w:firstRow="0" w:lastRow="0" w:firstColumn="1" w:lastColumn="0" w:oddVBand="0" w:evenVBand="0" w:oddHBand="0" w:evenHBand="0" w:firstRowFirstColumn="0" w:firstRowLastColumn="0" w:lastRowFirstColumn="0" w:lastRowLastColumn="0"/>
            <w:tcW w:w="1946" w:type="dxa"/>
          </w:tcPr>
          <w:p w:rsidR="00FE54BC" w:rsidRPr="00521345" w:rsidRDefault="00FE54BC" w:rsidP="005814B4">
            <w:pPr>
              <w:jc w:val="both"/>
              <w:rPr>
                <w:rFonts w:asciiTheme="minorHAnsi" w:hAnsiTheme="minorHAnsi" w:cstheme="minorHAnsi"/>
                <w:b w:val="0"/>
                <w:bCs w:val="0"/>
                <w:color w:val="000000"/>
                <w:sz w:val="22"/>
                <w:szCs w:val="18"/>
              </w:rPr>
            </w:pPr>
          </w:p>
        </w:tc>
        <w:tc>
          <w:tcPr>
            <w:tcW w:w="960" w:type="dxa"/>
            <w:vAlign w:val="bottom"/>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p>
        </w:tc>
        <w:tc>
          <w:tcPr>
            <w:tcW w:w="1100" w:type="dxa"/>
            <w:vAlign w:val="bottom"/>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p>
        </w:tc>
        <w:tc>
          <w:tcPr>
            <w:tcW w:w="1100" w:type="dxa"/>
            <w:vAlign w:val="bottom"/>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p>
        </w:tc>
        <w:tc>
          <w:tcPr>
            <w:tcW w:w="1100" w:type="dxa"/>
            <w:vAlign w:val="bottom"/>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p>
        </w:tc>
      </w:tr>
      <w:tr w:rsidR="00FE54BC" w:rsidRPr="00521345" w:rsidTr="005A3ACB">
        <w:trPr>
          <w:trHeight w:val="327"/>
          <w:jc w:val="center"/>
        </w:trPr>
        <w:tc>
          <w:tcPr>
            <w:cnfStyle w:val="001000000000" w:firstRow="0" w:lastRow="0" w:firstColumn="1" w:lastColumn="0" w:oddVBand="0" w:evenVBand="0" w:oddHBand="0" w:evenHBand="0" w:firstRowFirstColumn="0" w:firstRowLastColumn="0" w:lastRowFirstColumn="0" w:lastRowLastColumn="0"/>
            <w:tcW w:w="1946" w:type="dxa"/>
            <w:hideMark/>
          </w:tcPr>
          <w:p w:rsidR="00FE54BC" w:rsidRPr="00521345" w:rsidRDefault="00FE54BC" w:rsidP="005814B4">
            <w:pPr>
              <w:jc w:val="both"/>
              <w:rPr>
                <w:rFonts w:asciiTheme="minorHAnsi" w:hAnsiTheme="minorHAnsi" w:cstheme="minorHAnsi"/>
                <w:color w:val="000000"/>
                <w:sz w:val="22"/>
                <w:szCs w:val="18"/>
              </w:rPr>
            </w:pPr>
            <w:r w:rsidRPr="00521345">
              <w:rPr>
                <w:rFonts w:asciiTheme="minorHAnsi" w:hAnsiTheme="minorHAnsi" w:cstheme="minorHAnsi"/>
                <w:color w:val="000000"/>
                <w:sz w:val="22"/>
                <w:szCs w:val="18"/>
              </w:rPr>
              <w:t xml:space="preserve">Premium retained </w:t>
            </w:r>
          </w:p>
        </w:tc>
        <w:tc>
          <w:tcPr>
            <w:tcW w:w="96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2.82</w:t>
            </w:r>
          </w:p>
        </w:tc>
        <w:tc>
          <w:tcPr>
            <w:tcW w:w="110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3.39</w:t>
            </w:r>
          </w:p>
        </w:tc>
        <w:tc>
          <w:tcPr>
            <w:tcW w:w="1100" w:type="dxa"/>
            <w:vAlign w:val="bottom"/>
            <w:hideMark/>
          </w:tcPr>
          <w:p w:rsidR="00FE54BC" w:rsidRPr="00201E88" w:rsidRDefault="00FE54BC" w:rsidP="0093248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4.21</w:t>
            </w:r>
          </w:p>
        </w:tc>
        <w:tc>
          <w:tcPr>
            <w:tcW w:w="110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4.85</w:t>
            </w:r>
          </w:p>
        </w:tc>
      </w:tr>
      <w:tr w:rsidR="00FE54BC" w:rsidRPr="00521345" w:rsidTr="005A3ACB">
        <w:trPr>
          <w:trHeight w:val="312"/>
          <w:jc w:val="center"/>
        </w:trPr>
        <w:tc>
          <w:tcPr>
            <w:cnfStyle w:val="001000000000" w:firstRow="0" w:lastRow="0" w:firstColumn="1" w:lastColumn="0" w:oddVBand="0" w:evenVBand="0" w:oddHBand="0" w:evenHBand="0" w:firstRowFirstColumn="0" w:firstRowLastColumn="0" w:lastRowFirstColumn="0" w:lastRowLastColumn="0"/>
            <w:tcW w:w="1946" w:type="dxa"/>
            <w:hideMark/>
          </w:tcPr>
          <w:p w:rsidR="00FE54BC" w:rsidRPr="00521345" w:rsidRDefault="00FE54BC" w:rsidP="005814B4">
            <w:pPr>
              <w:jc w:val="both"/>
              <w:rPr>
                <w:rFonts w:asciiTheme="minorHAnsi" w:hAnsiTheme="minorHAnsi" w:cstheme="minorHAnsi"/>
                <w:color w:val="000000"/>
                <w:sz w:val="22"/>
                <w:szCs w:val="18"/>
              </w:rPr>
            </w:pPr>
            <w:r w:rsidRPr="00521345">
              <w:rPr>
                <w:rFonts w:asciiTheme="minorHAnsi" w:hAnsiTheme="minorHAnsi" w:cstheme="minorHAnsi"/>
                <w:b w:val="0"/>
                <w:color w:val="000000"/>
                <w:sz w:val="22"/>
                <w:szCs w:val="18"/>
              </w:rPr>
              <w:t>Growth rate</w:t>
            </w:r>
          </w:p>
        </w:tc>
        <w:tc>
          <w:tcPr>
            <w:tcW w:w="96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p>
        </w:tc>
        <w:tc>
          <w:tcPr>
            <w:tcW w:w="110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20%</w:t>
            </w:r>
          </w:p>
        </w:tc>
        <w:tc>
          <w:tcPr>
            <w:tcW w:w="110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24%</w:t>
            </w:r>
          </w:p>
        </w:tc>
        <w:tc>
          <w:tcPr>
            <w:tcW w:w="110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15%</w:t>
            </w:r>
          </w:p>
        </w:tc>
      </w:tr>
      <w:tr w:rsidR="00FE54BC" w:rsidRPr="00521345" w:rsidTr="005A3ACB">
        <w:trPr>
          <w:trHeight w:val="312"/>
          <w:jc w:val="center"/>
        </w:trPr>
        <w:tc>
          <w:tcPr>
            <w:cnfStyle w:val="001000000000" w:firstRow="0" w:lastRow="0" w:firstColumn="1" w:lastColumn="0" w:oddVBand="0" w:evenVBand="0" w:oddHBand="0" w:evenHBand="0" w:firstRowFirstColumn="0" w:firstRowLastColumn="0" w:lastRowFirstColumn="0" w:lastRowLastColumn="0"/>
            <w:tcW w:w="1946" w:type="dxa"/>
          </w:tcPr>
          <w:p w:rsidR="00FE54BC" w:rsidRPr="00521345" w:rsidRDefault="00FE54BC" w:rsidP="005814B4">
            <w:pPr>
              <w:jc w:val="both"/>
              <w:rPr>
                <w:rFonts w:asciiTheme="minorHAnsi" w:hAnsiTheme="minorHAnsi" w:cstheme="minorHAnsi"/>
                <w:b w:val="0"/>
                <w:bCs w:val="0"/>
                <w:color w:val="000000"/>
                <w:sz w:val="22"/>
                <w:szCs w:val="18"/>
              </w:rPr>
            </w:pPr>
          </w:p>
        </w:tc>
        <w:tc>
          <w:tcPr>
            <w:tcW w:w="960" w:type="dxa"/>
            <w:vAlign w:val="bottom"/>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p>
        </w:tc>
        <w:tc>
          <w:tcPr>
            <w:tcW w:w="1100" w:type="dxa"/>
            <w:vAlign w:val="bottom"/>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p>
        </w:tc>
        <w:tc>
          <w:tcPr>
            <w:tcW w:w="1100" w:type="dxa"/>
            <w:vAlign w:val="bottom"/>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p>
        </w:tc>
        <w:tc>
          <w:tcPr>
            <w:tcW w:w="1100" w:type="dxa"/>
            <w:vAlign w:val="bottom"/>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p>
        </w:tc>
      </w:tr>
      <w:tr w:rsidR="00FE54BC" w:rsidRPr="00521345" w:rsidTr="005A3ACB">
        <w:trPr>
          <w:trHeight w:val="213"/>
          <w:jc w:val="center"/>
        </w:trPr>
        <w:tc>
          <w:tcPr>
            <w:cnfStyle w:val="001000000000" w:firstRow="0" w:lastRow="0" w:firstColumn="1" w:lastColumn="0" w:oddVBand="0" w:evenVBand="0" w:oddHBand="0" w:evenHBand="0" w:firstRowFirstColumn="0" w:firstRowLastColumn="0" w:lastRowFirstColumn="0" w:lastRowLastColumn="0"/>
            <w:tcW w:w="1946" w:type="dxa"/>
            <w:hideMark/>
          </w:tcPr>
          <w:p w:rsidR="00FE54BC" w:rsidRPr="00521345" w:rsidRDefault="00FE54BC" w:rsidP="005814B4">
            <w:pPr>
              <w:jc w:val="both"/>
              <w:rPr>
                <w:rFonts w:asciiTheme="minorHAnsi" w:hAnsiTheme="minorHAnsi" w:cstheme="minorHAnsi"/>
                <w:color w:val="000000"/>
                <w:sz w:val="22"/>
                <w:szCs w:val="18"/>
              </w:rPr>
            </w:pPr>
            <w:r w:rsidRPr="00521345">
              <w:rPr>
                <w:rFonts w:asciiTheme="minorHAnsi" w:hAnsiTheme="minorHAnsi" w:cstheme="minorHAnsi"/>
                <w:color w:val="000000"/>
                <w:sz w:val="22"/>
                <w:szCs w:val="18"/>
              </w:rPr>
              <w:t>Paid to reinsurer</w:t>
            </w:r>
          </w:p>
        </w:tc>
        <w:tc>
          <w:tcPr>
            <w:tcW w:w="96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7.70</w:t>
            </w:r>
          </w:p>
        </w:tc>
        <w:tc>
          <w:tcPr>
            <w:tcW w:w="110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10.46</w:t>
            </w:r>
          </w:p>
        </w:tc>
        <w:tc>
          <w:tcPr>
            <w:tcW w:w="1100" w:type="dxa"/>
            <w:noWrap/>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18"/>
              </w:rPr>
            </w:pPr>
            <w:r>
              <w:rPr>
                <w:rFonts w:ascii="Calibri" w:hAnsi="Calibri" w:cs="Calibri"/>
                <w:color w:val="000000"/>
                <w:sz w:val="22"/>
                <w:szCs w:val="22"/>
              </w:rPr>
              <w:t>8.88</w:t>
            </w:r>
          </w:p>
        </w:tc>
        <w:tc>
          <w:tcPr>
            <w:tcW w:w="1100" w:type="dxa"/>
            <w:vAlign w:val="bottom"/>
            <w:hideMark/>
          </w:tcPr>
          <w:p w:rsidR="00FE54BC" w:rsidRPr="00201E88" w:rsidRDefault="00FE54BC" w:rsidP="006D66B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12.61</w:t>
            </w:r>
          </w:p>
        </w:tc>
      </w:tr>
      <w:tr w:rsidR="00FE54BC" w:rsidRPr="00521345" w:rsidTr="005A3ACB">
        <w:trPr>
          <w:trHeight w:val="312"/>
          <w:jc w:val="center"/>
        </w:trPr>
        <w:tc>
          <w:tcPr>
            <w:cnfStyle w:val="001000000000" w:firstRow="0" w:lastRow="0" w:firstColumn="1" w:lastColumn="0" w:oddVBand="0" w:evenVBand="0" w:oddHBand="0" w:evenHBand="0" w:firstRowFirstColumn="0" w:firstRowLastColumn="0" w:lastRowFirstColumn="0" w:lastRowLastColumn="0"/>
            <w:tcW w:w="1946" w:type="dxa"/>
            <w:hideMark/>
          </w:tcPr>
          <w:p w:rsidR="00FE54BC" w:rsidRPr="00521345" w:rsidRDefault="00FE54BC" w:rsidP="005814B4">
            <w:pPr>
              <w:jc w:val="both"/>
              <w:rPr>
                <w:rFonts w:asciiTheme="minorHAnsi" w:hAnsiTheme="minorHAnsi" w:cstheme="minorHAnsi"/>
                <w:color w:val="000000"/>
                <w:sz w:val="22"/>
                <w:szCs w:val="18"/>
              </w:rPr>
            </w:pPr>
            <w:r w:rsidRPr="00521345">
              <w:rPr>
                <w:rFonts w:asciiTheme="minorHAnsi" w:hAnsiTheme="minorHAnsi" w:cstheme="minorHAnsi"/>
                <w:b w:val="0"/>
                <w:color w:val="000000"/>
                <w:sz w:val="22"/>
                <w:szCs w:val="18"/>
              </w:rPr>
              <w:t>Growth rate</w:t>
            </w:r>
          </w:p>
        </w:tc>
        <w:tc>
          <w:tcPr>
            <w:tcW w:w="96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p>
        </w:tc>
        <w:tc>
          <w:tcPr>
            <w:tcW w:w="110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36%</w:t>
            </w:r>
          </w:p>
        </w:tc>
        <w:tc>
          <w:tcPr>
            <w:tcW w:w="110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-15%</w:t>
            </w:r>
          </w:p>
        </w:tc>
        <w:tc>
          <w:tcPr>
            <w:tcW w:w="110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42%</w:t>
            </w:r>
          </w:p>
        </w:tc>
      </w:tr>
      <w:tr w:rsidR="00FE54BC" w:rsidRPr="00521345" w:rsidTr="005A3ACB">
        <w:trPr>
          <w:trHeight w:val="312"/>
          <w:jc w:val="center"/>
        </w:trPr>
        <w:tc>
          <w:tcPr>
            <w:cnfStyle w:val="001000000000" w:firstRow="0" w:lastRow="0" w:firstColumn="1" w:lastColumn="0" w:oddVBand="0" w:evenVBand="0" w:oddHBand="0" w:evenHBand="0" w:firstRowFirstColumn="0" w:firstRowLastColumn="0" w:lastRowFirstColumn="0" w:lastRowLastColumn="0"/>
            <w:tcW w:w="1946" w:type="dxa"/>
          </w:tcPr>
          <w:p w:rsidR="00FE54BC" w:rsidRPr="00521345" w:rsidRDefault="00FE54BC" w:rsidP="005814B4">
            <w:pPr>
              <w:jc w:val="both"/>
              <w:rPr>
                <w:rFonts w:asciiTheme="minorHAnsi" w:hAnsiTheme="minorHAnsi" w:cstheme="minorHAnsi"/>
                <w:b w:val="0"/>
                <w:bCs w:val="0"/>
                <w:color w:val="000000"/>
                <w:sz w:val="22"/>
                <w:szCs w:val="18"/>
              </w:rPr>
            </w:pPr>
          </w:p>
        </w:tc>
        <w:tc>
          <w:tcPr>
            <w:tcW w:w="960" w:type="dxa"/>
            <w:vAlign w:val="bottom"/>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p>
        </w:tc>
        <w:tc>
          <w:tcPr>
            <w:tcW w:w="1100" w:type="dxa"/>
            <w:vAlign w:val="bottom"/>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p>
        </w:tc>
        <w:tc>
          <w:tcPr>
            <w:tcW w:w="1100" w:type="dxa"/>
            <w:vAlign w:val="bottom"/>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p>
        </w:tc>
        <w:tc>
          <w:tcPr>
            <w:tcW w:w="1100" w:type="dxa"/>
            <w:vAlign w:val="bottom"/>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p>
        </w:tc>
      </w:tr>
      <w:tr w:rsidR="00FE54BC" w:rsidRPr="00521345" w:rsidTr="005A3ACB">
        <w:trPr>
          <w:trHeight w:val="44"/>
          <w:jc w:val="center"/>
        </w:trPr>
        <w:tc>
          <w:tcPr>
            <w:cnfStyle w:val="001000000000" w:firstRow="0" w:lastRow="0" w:firstColumn="1" w:lastColumn="0" w:oddVBand="0" w:evenVBand="0" w:oddHBand="0" w:evenHBand="0" w:firstRowFirstColumn="0" w:firstRowLastColumn="0" w:lastRowFirstColumn="0" w:lastRowLastColumn="0"/>
            <w:tcW w:w="1946" w:type="dxa"/>
            <w:hideMark/>
          </w:tcPr>
          <w:p w:rsidR="00FE54BC" w:rsidRPr="00521345" w:rsidRDefault="00FE54BC" w:rsidP="005814B4">
            <w:pPr>
              <w:jc w:val="both"/>
              <w:rPr>
                <w:rFonts w:asciiTheme="minorHAnsi" w:hAnsiTheme="minorHAnsi" w:cstheme="minorHAnsi"/>
                <w:color w:val="000000"/>
                <w:sz w:val="22"/>
                <w:szCs w:val="18"/>
              </w:rPr>
            </w:pPr>
            <w:r w:rsidRPr="00521345">
              <w:rPr>
                <w:rFonts w:asciiTheme="minorHAnsi" w:hAnsiTheme="minorHAnsi" w:cstheme="minorHAnsi"/>
                <w:color w:val="000000"/>
                <w:sz w:val="22"/>
                <w:szCs w:val="18"/>
              </w:rPr>
              <w:t>Claims paid</w:t>
            </w:r>
          </w:p>
        </w:tc>
        <w:tc>
          <w:tcPr>
            <w:tcW w:w="96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1.55</w:t>
            </w:r>
          </w:p>
        </w:tc>
        <w:tc>
          <w:tcPr>
            <w:tcW w:w="110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1.02</w:t>
            </w:r>
          </w:p>
        </w:tc>
        <w:tc>
          <w:tcPr>
            <w:tcW w:w="1100" w:type="dxa"/>
            <w:vAlign w:val="bottom"/>
            <w:hideMark/>
          </w:tcPr>
          <w:p w:rsidR="00FE54BC" w:rsidRPr="00201E88" w:rsidRDefault="00FE54BC" w:rsidP="0093248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1.82</w:t>
            </w:r>
          </w:p>
        </w:tc>
        <w:tc>
          <w:tcPr>
            <w:tcW w:w="1100" w:type="dxa"/>
            <w:vAlign w:val="bottom"/>
            <w:hideMark/>
          </w:tcPr>
          <w:p w:rsidR="00FE54BC" w:rsidRPr="00201E88"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18"/>
              </w:rPr>
            </w:pPr>
            <w:r>
              <w:rPr>
                <w:rFonts w:ascii="Calibri" w:hAnsi="Calibri" w:cs="Calibri"/>
                <w:color w:val="000000"/>
                <w:sz w:val="22"/>
                <w:szCs w:val="22"/>
              </w:rPr>
              <w:t>1.47</w:t>
            </w:r>
          </w:p>
        </w:tc>
      </w:tr>
      <w:tr w:rsidR="00FE54BC" w:rsidRPr="00521345" w:rsidTr="005A3ACB">
        <w:trPr>
          <w:trHeight w:val="312"/>
          <w:jc w:val="center"/>
        </w:trPr>
        <w:tc>
          <w:tcPr>
            <w:cnfStyle w:val="001000000000" w:firstRow="0" w:lastRow="0" w:firstColumn="1" w:lastColumn="0" w:oddVBand="0" w:evenVBand="0" w:oddHBand="0" w:evenHBand="0" w:firstRowFirstColumn="0" w:firstRowLastColumn="0" w:lastRowFirstColumn="0" w:lastRowLastColumn="0"/>
            <w:tcW w:w="1946" w:type="dxa"/>
            <w:noWrap/>
            <w:hideMark/>
          </w:tcPr>
          <w:p w:rsidR="00FE54BC" w:rsidRPr="00521345" w:rsidRDefault="00FE54BC" w:rsidP="005814B4">
            <w:pPr>
              <w:rPr>
                <w:rFonts w:asciiTheme="minorHAnsi" w:hAnsiTheme="minorHAnsi" w:cstheme="minorHAnsi"/>
                <w:color w:val="000000"/>
                <w:sz w:val="22"/>
                <w:szCs w:val="18"/>
              </w:rPr>
            </w:pPr>
            <w:r w:rsidRPr="00521345">
              <w:rPr>
                <w:rFonts w:asciiTheme="minorHAnsi" w:hAnsiTheme="minorHAnsi" w:cstheme="minorHAnsi"/>
                <w:b w:val="0"/>
                <w:color w:val="000000"/>
                <w:sz w:val="22"/>
                <w:szCs w:val="18"/>
              </w:rPr>
              <w:t>Growth rate</w:t>
            </w:r>
          </w:p>
        </w:tc>
        <w:tc>
          <w:tcPr>
            <w:tcW w:w="960" w:type="dxa"/>
            <w:vAlign w:val="bottom"/>
            <w:hideMark/>
          </w:tcPr>
          <w:p w:rsidR="00FE54BC" w:rsidRPr="00521345"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18"/>
              </w:rPr>
            </w:pPr>
          </w:p>
        </w:tc>
        <w:tc>
          <w:tcPr>
            <w:tcW w:w="1100" w:type="dxa"/>
            <w:vAlign w:val="bottom"/>
            <w:hideMark/>
          </w:tcPr>
          <w:p w:rsidR="00FE54BC" w:rsidRPr="00521345"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18"/>
              </w:rPr>
            </w:pPr>
            <w:r>
              <w:rPr>
                <w:rFonts w:ascii="Calibri" w:hAnsi="Calibri" w:cs="Calibri"/>
                <w:color w:val="000000"/>
                <w:sz w:val="22"/>
                <w:szCs w:val="22"/>
              </w:rPr>
              <w:t>-34%</w:t>
            </w:r>
          </w:p>
        </w:tc>
        <w:tc>
          <w:tcPr>
            <w:tcW w:w="1100" w:type="dxa"/>
            <w:vAlign w:val="bottom"/>
            <w:hideMark/>
          </w:tcPr>
          <w:p w:rsidR="00FE54BC" w:rsidRPr="00521345"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18"/>
              </w:rPr>
            </w:pPr>
            <w:r>
              <w:rPr>
                <w:rFonts w:ascii="Calibri" w:hAnsi="Calibri" w:cs="Calibri"/>
                <w:color w:val="000000"/>
                <w:sz w:val="22"/>
                <w:szCs w:val="22"/>
              </w:rPr>
              <w:t>78%</w:t>
            </w:r>
          </w:p>
        </w:tc>
        <w:tc>
          <w:tcPr>
            <w:tcW w:w="1100" w:type="dxa"/>
            <w:vAlign w:val="bottom"/>
            <w:hideMark/>
          </w:tcPr>
          <w:p w:rsidR="00FE54BC" w:rsidRPr="00521345" w:rsidRDefault="00FE54BC" w:rsidP="00F36FB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18"/>
              </w:rPr>
            </w:pPr>
            <w:r>
              <w:rPr>
                <w:rFonts w:ascii="Calibri" w:hAnsi="Calibri" w:cs="Calibri"/>
                <w:color w:val="000000"/>
                <w:sz w:val="22"/>
                <w:szCs w:val="22"/>
              </w:rPr>
              <w:t>-19%</w:t>
            </w:r>
          </w:p>
        </w:tc>
      </w:tr>
    </w:tbl>
    <w:p w:rsidR="005814B4" w:rsidRDefault="005814B4" w:rsidP="00085318">
      <w:pPr>
        <w:pStyle w:val="NoSpacing"/>
        <w:jc w:val="both"/>
      </w:pPr>
    </w:p>
    <w:p w:rsidR="00B7522D" w:rsidRPr="00744907" w:rsidRDefault="00B7522D" w:rsidP="00085318">
      <w:pPr>
        <w:pStyle w:val="NoSpacing"/>
        <w:jc w:val="both"/>
        <w:rPr>
          <w:rFonts w:cstheme="minorHAnsi"/>
          <w:sz w:val="24"/>
          <w:szCs w:val="24"/>
        </w:rPr>
      </w:pPr>
      <w:r w:rsidRPr="00744907">
        <w:rPr>
          <w:rFonts w:cstheme="minorHAnsi"/>
          <w:sz w:val="24"/>
          <w:szCs w:val="24"/>
        </w:rPr>
        <w:t xml:space="preserve">The total </w:t>
      </w:r>
      <w:r w:rsidR="00085318" w:rsidRPr="00744907">
        <w:rPr>
          <w:rFonts w:cstheme="minorHAnsi"/>
          <w:sz w:val="24"/>
          <w:szCs w:val="24"/>
        </w:rPr>
        <w:t>Gross Premium</w:t>
      </w:r>
      <w:r w:rsidRPr="00744907">
        <w:rPr>
          <w:rFonts w:cstheme="minorHAnsi"/>
          <w:sz w:val="24"/>
          <w:szCs w:val="24"/>
        </w:rPr>
        <w:t xml:space="preserve"> of the insurance industry in Afghanistan h</w:t>
      </w:r>
      <w:r w:rsidR="00085318" w:rsidRPr="00744907">
        <w:rPr>
          <w:rFonts w:cstheme="minorHAnsi"/>
          <w:sz w:val="24"/>
          <w:szCs w:val="24"/>
        </w:rPr>
        <w:t>as</w:t>
      </w:r>
      <w:r w:rsidRPr="00744907">
        <w:rPr>
          <w:rFonts w:cstheme="minorHAnsi"/>
          <w:sz w:val="24"/>
          <w:szCs w:val="24"/>
        </w:rPr>
        <w:t xml:space="preserve"> increased </w:t>
      </w:r>
      <w:r w:rsidR="00085318" w:rsidRPr="00744907">
        <w:rPr>
          <w:rFonts w:cstheme="minorHAnsi"/>
          <w:sz w:val="24"/>
          <w:szCs w:val="24"/>
        </w:rPr>
        <w:t xml:space="preserve">to almost double </w:t>
      </w:r>
      <w:r w:rsidRPr="00744907">
        <w:rPr>
          <w:rFonts w:cstheme="minorHAnsi"/>
          <w:sz w:val="24"/>
          <w:szCs w:val="24"/>
        </w:rPr>
        <w:t xml:space="preserve">from USD </w:t>
      </w:r>
      <w:r w:rsidR="00085318" w:rsidRPr="00744907">
        <w:rPr>
          <w:rFonts w:cstheme="minorHAnsi"/>
          <w:sz w:val="24"/>
          <w:szCs w:val="24"/>
        </w:rPr>
        <w:t>9.</w:t>
      </w:r>
      <w:r w:rsidR="00744907" w:rsidRPr="00744907">
        <w:rPr>
          <w:rFonts w:cstheme="minorHAnsi"/>
          <w:sz w:val="24"/>
          <w:szCs w:val="24"/>
        </w:rPr>
        <w:t>59</w:t>
      </w:r>
      <w:r w:rsidRPr="00744907">
        <w:rPr>
          <w:rFonts w:cstheme="minorHAnsi"/>
          <w:sz w:val="24"/>
          <w:szCs w:val="24"/>
        </w:rPr>
        <w:t xml:space="preserve"> million </w:t>
      </w:r>
      <w:r w:rsidR="00085318" w:rsidRPr="00744907">
        <w:rPr>
          <w:rFonts w:cstheme="minorHAnsi"/>
          <w:sz w:val="24"/>
          <w:szCs w:val="24"/>
        </w:rPr>
        <w:t xml:space="preserve">in 2015 </w:t>
      </w:r>
      <w:r w:rsidRPr="00744907">
        <w:rPr>
          <w:rFonts w:cstheme="minorHAnsi"/>
          <w:sz w:val="24"/>
          <w:szCs w:val="24"/>
        </w:rPr>
        <w:t xml:space="preserve">to USD </w:t>
      </w:r>
      <w:r w:rsidR="00744907" w:rsidRPr="00744907">
        <w:rPr>
          <w:rFonts w:cstheme="minorHAnsi"/>
          <w:sz w:val="24"/>
          <w:szCs w:val="24"/>
        </w:rPr>
        <w:t>16</w:t>
      </w:r>
      <w:r w:rsidR="00085318" w:rsidRPr="00744907">
        <w:rPr>
          <w:rFonts w:cstheme="minorHAnsi"/>
          <w:sz w:val="24"/>
          <w:szCs w:val="24"/>
        </w:rPr>
        <w:t>.5</w:t>
      </w:r>
      <w:r w:rsidR="00744907" w:rsidRPr="00744907">
        <w:rPr>
          <w:rFonts w:cstheme="minorHAnsi"/>
          <w:sz w:val="24"/>
          <w:szCs w:val="24"/>
        </w:rPr>
        <w:t>5</w:t>
      </w:r>
      <w:r w:rsidRPr="00744907">
        <w:rPr>
          <w:rFonts w:cstheme="minorHAnsi"/>
          <w:sz w:val="24"/>
          <w:szCs w:val="24"/>
        </w:rPr>
        <w:t xml:space="preserve"> million in 20</w:t>
      </w:r>
      <w:r w:rsidR="00085318" w:rsidRPr="00744907">
        <w:rPr>
          <w:rFonts w:cstheme="minorHAnsi"/>
          <w:sz w:val="24"/>
          <w:szCs w:val="24"/>
        </w:rPr>
        <w:t>1</w:t>
      </w:r>
      <w:r w:rsidR="00744907" w:rsidRPr="00744907">
        <w:rPr>
          <w:rFonts w:cstheme="minorHAnsi"/>
          <w:sz w:val="24"/>
          <w:szCs w:val="24"/>
        </w:rPr>
        <w:t>8, with an annual increase of 36</w:t>
      </w:r>
      <w:r w:rsidRPr="00744907">
        <w:rPr>
          <w:rFonts w:cstheme="minorHAnsi"/>
          <w:sz w:val="24"/>
          <w:szCs w:val="24"/>
        </w:rPr>
        <w:t>% in 2017-18.</w:t>
      </w:r>
    </w:p>
    <w:p w:rsidR="00085318" w:rsidRDefault="00085318" w:rsidP="00085318">
      <w:pPr>
        <w:pStyle w:val="NoSpacing"/>
        <w:jc w:val="both"/>
        <w:rPr>
          <w:rFonts w:cstheme="minorHAnsi"/>
          <w:sz w:val="24"/>
        </w:rPr>
      </w:pPr>
    </w:p>
    <w:p w:rsidR="00085318" w:rsidRPr="00744907" w:rsidRDefault="00085318" w:rsidP="00085318">
      <w:pPr>
        <w:pStyle w:val="NoSpacing"/>
        <w:jc w:val="both"/>
        <w:rPr>
          <w:rFonts w:cstheme="minorHAnsi"/>
          <w:sz w:val="24"/>
          <w:szCs w:val="24"/>
        </w:rPr>
      </w:pPr>
      <w:r w:rsidRPr="00744907">
        <w:rPr>
          <w:rFonts w:cstheme="minorHAnsi"/>
          <w:sz w:val="24"/>
          <w:szCs w:val="24"/>
        </w:rPr>
        <w:t xml:space="preserve">Similarly, the total Premium retained by the insurance industry in Afghanistan has increased to </w:t>
      </w:r>
      <w:r w:rsidR="00744907">
        <w:rPr>
          <w:rFonts w:cstheme="minorHAnsi"/>
          <w:sz w:val="24"/>
          <w:szCs w:val="24"/>
        </w:rPr>
        <w:t xml:space="preserve">almost </w:t>
      </w:r>
      <w:r w:rsidRPr="00744907">
        <w:rPr>
          <w:rFonts w:cstheme="minorHAnsi"/>
          <w:sz w:val="24"/>
          <w:szCs w:val="24"/>
        </w:rPr>
        <w:t>double from USD 2.</w:t>
      </w:r>
      <w:r w:rsidR="00744907">
        <w:rPr>
          <w:rFonts w:cstheme="minorHAnsi"/>
          <w:sz w:val="24"/>
          <w:szCs w:val="24"/>
        </w:rPr>
        <w:t>82</w:t>
      </w:r>
      <w:r w:rsidRPr="00744907">
        <w:rPr>
          <w:rFonts w:cstheme="minorHAnsi"/>
          <w:sz w:val="24"/>
          <w:szCs w:val="24"/>
        </w:rPr>
        <w:t xml:space="preserve"> million in 2015 to USD </w:t>
      </w:r>
      <w:r w:rsidR="00744907">
        <w:rPr>
          <w:rFonts w:cstheme="minorHAnsi"/>
          <w:sz w:val="24"/>
          <w:szCs w:val="24"/>
        </w:rPr>
        <w:t>4.85</w:t>
      </w:r>
      <w:r w:rsidRPr="00744907">
        <w:rPr>
          <w:rFonts w:cstheme="minorHAnsi"/>
          <w:sz w:val="24"/>
          <w:szCs w:val="24"/>
        </w:rPr>
        <w:t xml:space="preserve"> million in 2018, with an annual increase of </w:t>
      </w:r>
      <w:r w:rsidR="00744907">
        <w:rPr>
          <w:rFonts w:cstheme="minorHAnsi"/>
          <w:sz w:val="24"/>
          <w:szCs w:val="24"/>
        </w:rPr>
        <w:t>15</w:t>
      </w:r>
      <w:r w:rsidRPr="00744907">
        <w:rPr>
          <w:rFonts w:cstheme="minorHAnsi"/>
          <w:sz w:val="24"/>
          <w:szCs w:val="24"/>
        </w:rPr>
        <w:t>% in 2017-18.</w:t>
      </w:r>
    </w:p>
    <w:p w:rsidR="00521345" w:rsidRDefault="00521345">
      <w:pPr>
        <w:spacing w:after="160" w:line="259" w:lineRule="auto"/>
        <w:rPr>
          <w:b/>
          <w:bCs/>
          <w:color w:val="4F81BD" w:themeColor="accent1"/>
          <w:sz w:val="18"/>
          <w:szCs w:val="18"/>
        </w:rPr>
      </w:pPr>
    </w:p>
    <w:p w:rsidR="00B7522D" w:rsidRDefault="00B7522D">
      <w:pPr>
        <w:spacing w:after="160" w:line="259" w:lineRule="auto"/>
        <w:rPr>
          <w:b/>
          <w:bCs/>
          <w:color w:val="4F81BD" w:themeColor="accent1"/>
          <w:sz w:val="18"/>
          <w:szCs w:val="18"/>
        </w:rPr>
      </w:pPr>
      <w:r>
        <w:br w:type="page"/>
      </w:r>
    </w:p>
    <w:p w:rsidR="005814B4" w:rsidRPr="00744907" w:rsidRDefault="00521345" w:rsidP="00521345">
      <w:pPr>
        <w:pStyle w:val="Caption"/>
        <w:jc w:val="center"/>
        <w:rPr>
          <w:sz w:val="24"/>
        </w:rPr>
      </w:pPr>
      <w:r w:rsidRPr="00744907">
        <w:rPr>
          <w:sz w:val="24"/>
        </w:rPr>
        <w:lastRenderedPageBreak/>
        <w:t xml:space="preserve">Table </w:t>
      </w:r>
      <w:r w:rsidRPr="00744907">
        <w:rPr>
          <w:sz w:val="24"/>
        </w:rPr>
        <w:fldChar w:fldCharType="begin"/>
      </w:r>
      <w:r w:rsidRPr="00744907">
        <w:rPr>
          <w:sz w:val="24"/>
        </w:rPr>
        <w:instrText xml:space="preserve"> SEQ Table \* ARABIC </w:instrText>
      </w:r>
      <w:r w:rsidRPr="00744907">
        <w:rPr>
          <w:sz w:val="24"/>
        </w:rPr>
        <w:fldChar w:fldCharType="separate"/>
      </w:r>
      <w:r w:rsidR="00D65C8E" w:rsidRPr="00744907">
        <w:rPr>
          <w:noProof/>
          <w:sz w:val="24"/>
        </w:rPr>
        <w:t>6</w:t>
      </w:r>
      <w:r w:rsidRPr="00744907">
        <w:rPr>
          <w:sz w:val="24"/>
        </w:rPr>
        <w:fldChar w:fldCharType="end"/>
      </w:r>
      <w:r w:rsidRPr="00744907">
        <w:rPr>
          <w:sz w:val="24"/>
        </w:rPr>
        <w:t>: Industry-wide Premium Retention and Reinsurance ratios</w:t>
      </w:r>
    </w:p>
    <w:tbl>
      <w:tblPr>
        <w:tblStyle w:val="GridTable1Light-Accent51"/>
        <w:tblW w:w="6509" w:type="dxa"/>
        <w:jc w:val="center"/>
        <w:tblLook w:val="04A0" w:firstRow="1" w:lastRow="0" w:firstColumn="1" w:lastColumn="0" w:noHBand="0" w:noVBand="1"/>
      </w:tblPr>
      <w:tblGrid>
        <w:gridCol w:w="2249"/>
        <w:gridCol w:w="960"/>
        <w:gridCol w:w="1100"/>
        <w:gridCol w:w="1100"/>
        <w:gridCol w:w="1100"/>
      </w:tblGrid>
      <w:tr w:rsidR="00037736" w:rsidRPr="00037736" w:rsidTr="0074490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49" w:type="dxa"/>
            <w:noWrap/>
            <w:hideMark/>
          </w:tcPr>
          <w:p w:rsidR="00037736" w:rsidRPr="00744907" w:rsidRDefault="00037736" w:rsidP="00037736">
            <w:pPr>
              <w:rPr>
                <w:rFonts w:asciiTheme="minorHAnsi" w:hAnsiTheme="minorHAnsi" w:cstheme="minorHAnsi"/>
                <w:color w:val="000000"/>
                <w:szCs w:val="22"/>
              </w:rPr>
            </w:pPr>
          </w:p>
        </w:tc>
        <w:tc>
          <w:tcPr>
            <w:tcW w:w="960" w:type="dxa"/>
            <w:noWrap/>
            <w:hideMark/>
          </w:tcPr>
          <w:p w:rsidR="00037736" w:rsidRPr="00744907" w:rsidRDefault="00037736" w:rsidP="00037736">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744907">
              <w:rPr>
                <w:rFonts w:asciiTheme="minorHAnsi" w:hAnsiTheme="minorHAnsi" w:cstheme="minorHAnsi"/>
                <w:color w:val="000000"/>
                <w:szCs w:val="22"/>
              </w:rPr>
              <w:t>2015</w:t>
            </w:r>
          </w:p>
        </w:tc>
        <w:tc>
          <w:tcPr>
            <w:tcW w:w="1100" w:type="dxa"/>
            <w:noWrap/>
            <w:hideMark/>
          </w:tcPr>
          <w:p w:rsidR="00037736" w:rsidRPr="00744907" w:rsidRDefault="00037736" w:rsidP="00037736">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744907">
              <w:rPr>
                <w:rFonts w:asciiTheme="minorHAnsi" w:hAnsiTheme="minorHAnsi" w:cstheme="minorHAnsi"/>
                <w:color w:val="000000"/>
                <w:szCs w:val="22"/>
              </w:rPr>
              <w:t>2016</w:t>
            </w:r>
          </w:p>
        </w:tc>
        <w:tc>
          <w:tcPr>
            <w:tcW w:w="1100" w:type="dxa"/>
            <w:noWrap/>
            <w:hideMark/>
          </w:tcPr>
          <w:p w:rsidR="00037736" w:rsidRPr="00744907" w:rsidRDefault="00037736" w:rsidP="00037736">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744907">
              <w:rPr>
                <w:rFonts w:asciiTheme="minorHAnsi" w:hAnsiTheme="minorHAnsi" w:cstheme="minorHAnsi"/>
                <w:color w:val="000000"/>
                <w:szCs w:val="22"/>
              </w:rPr>
              <w:t>2017</w:t>
            </w:r>
          </w:p>
        </w:tc>
        <w:tc>
          <w:tcPr>
            <w:tcW w:w="1100" w:type="dxa"/>
            <w:noWrap/>
            <w:hideMark/>
          </w:tcPr>
          <w:p w:rsidR="00037736" w:rsidRPr="00744907" w:rsidRDefault="00037736" w:rsidP="00037736">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744907">
              <w:rPr>
                <w:rFonts w:asciiTheme="minorHAnsi" w:hAnsiTheme="minorHAnsi" w:cstheme="minorHAnsi"/>
                <w:color w:val="000000"/>
                <w:szCs w:val="22"/>
              </w:rPr>
              <w:t>2018</w:t>
            </w:r>
          </w:p>
        </w:tc>
      </w:tr>
      <w:tr w:rsidR="00FE54BC" w:rsidRPr="00037736" w:rsidTr="00744907">
        <w:trPr>
          <w:trHeight w:val="134"/>
          <w:jc w:val="center"/>
        </w:trPr>
        <w:tc>
          <w:tcPr>
            <w:cnfStyle w:val="001000000000" w:firstRow="0" w:lastRow="0" w:firstColumn="1" w:lastColumn="0" w:oddVBand="0" w:evenVBand="0" w:oddHBand="0" w:evenHBand="0" w:firstRowFirstColumn="0" w:firstRowLastColumn="0" w:lastRowFirstColumn="0" w:lastRowLastColumn="0"/>
            <w:tcW w:w="2249" w:type="dxa"/>
            <w:hideMark/>
          </w:tcPr>
          <w:p w:rsidR="00FE54BC" w:rsidRPr="00744907" w:rsidRDefault="00FE54BC" w:rsidP="00F4462E">
            <w:pPr>
              <w:rPr>
                <w:rFonts w:asciiTheme="minorHAnsi" w:hAnsiTheme="minorHAnsi" w:cstheme="minorHAnsi"/>
                <w:color w:val="000000"/>
                <w:szCs w:val="22"/>
              </w:rPr>
            </w:pPr>
            <w:r w:rsidRPr="00744907">
              <w:rPr>
                <w:rFonts w:asciiTheme="minorHAnsi" w:hAnsiTheme="minorHAnsi" w:cstheme="minorHAnsi"/>
                <w:color w:val="000000"/>
                <w:szCs w:val="22"/>
              </w:rPr>
              <w:t xml:space="preserve">Gross Premium </w:t>
            </w:r>
          </w:p>
        </w:tc>
        <w:tc>
          <w:tcPr>
            <w:tcW w:w="960" w:type="dxa"/>
            <w:vAlign w:val="center"/>
            <w:hideMark/>
          </w:tcPr>
          <w:p w:rsidR="00FE54BC" w:rsidRPr="00744907" w:rsidRDefault="00FE54BC" w:rsidP="00F446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9.59</w:t>
            </w:r>
          </w:p>
        </w:tc>
        <w:tc>
          <w:tcPr>
            <w:tcW w:w="1100" w:type="dxa"/>
            <w:vAlign w:val="center"/>
            <w:hideMark/>
          </w:tcPr>
          <w:p w:rsidR="00FE54BC" w:rsidRPr="00744907" w:rsidRDefault="00FE54BC" w:rsidP="00F446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12.91</w:t>
            </w:r>
          </w:p>
        </w:tc>
        <w:tc>
          <w:tcPr>
            <w:tcW w:w="1100" w:type="dxa"/>
            <w:vAlign w:val="center"/>
            <w:hideMark/>
          </w:tcPr>
          <w:p w:rsidR="00FE54BC" w:rsidRPr="00744907" w:rsidRDefault="00FE54BC" w:rsidP="00F446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12.16</w:t>
            </w:r>
          </w:p>
        </w:tc>
        <w:tc>
          <w:tcPr>
            <w:tcW w:w="1100" w:type="dxa"/>
            <w:vAlign w:val="center"/>
            <w:hideMark/>
          </w:tcPr>
          <w:p w:rsidR="00FE54BC" w:rsidRPr="00744907" w:rsidRDefault="00FE54BC" w:rsidP="0063436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16.54</w:t>
            </w:r>
          </w:p>
        </w:tc>
      </w:tr>
      <w:tr w:rsidR="00FE54BC" w:rsidRPr="00037736" w:rsidTr="00744907">
        <w:trPr>
          <w:trHeight w:val="312"/>
          <w:jc w:val="center"/>
        </w:trPr>
        <w:tc>
          <w:tcPr>
            <w:cnfStyle w:val="001000000000" w:firstRow="0" w:lastRow="0" w:firstColumn="1" w:lastColumn="0" w:oddVBand="0" w:evenVBand="0" w:oddHBand="0" w:evenHBand="0" w:firstRowFirstColumn="0" w:firstRowLastColumn="0" w:lastRowFirstColumn="0" w:lastRowLastColumn="0"/>
            <w:tcW w:w="2249" w:type="dxa"/>
            <w:hideMark/>
          </w:tcPr>
          <w:p w:rsidR="00FE54BC" w:rsidRPr="00744907" w:rsidRDefault="00FE54BC" w:rsidP="007A33FF">
            <w:pPr>
              <w:rPr>
                <w:rFonts w:asciiTheme="minorHAnsi" w:hAnsiTheme="minorHAnsi" w:cstheme="minorHAnsi"/>
                <w:color w:val="000000"/>
                <w:szCs w:val="22"/>
              </w:rPr>
            </w:pPr>
            <w:r w:rsidRPr="00744907">
              <w:rPr>
                <w:rFonts w:asciiTheme="minorHAnsi" w:hAnsiTheme="minorHAnsi" w:cstheme="minorHAnsi"/>
                <w:color w:val="000000"/>
                <w:szCs w:val="22"/>
              </w:rPr>
              <w:t> </w:t>
            </w:r>
          </w:p>
        </w:tc>
        <w:tc>
          <w:tcPr>
            <w:tcW w:w="960" w:type="dxa"/>
            <w:vAlign w:val="center"/>
            <w:hideMark/>
          </w:tcPr>
          <w:p w:rsidR="00FE54BC" w:rsidRPr="00744907" w:rsidRDefault="00FE54BC" w:rsidP="000377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 </w:t>
            </w:r>
          </w:p>
        </w:tc>
        <w:tc>
          <w:tcPr>
            <w:tcW w:w="1100" w:type="dxa"/>
            <w:vAlign w:val="center"/>
            <w:hideMark/>
          </w:tcPr>
          <w:p w:rsidR="00FE54BC" w:rsidRPr="00744907" w:rsidRDefault="00FE54BC" w:rsidP="000377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 </w:t>
            </w:r>
          </w:p>
        </w:tc>
        <w:tc>
          <w:tcPr>
            <w:tcW w:w="1100" w:type="dxa"/>
            <w:vAlign w:val="center"/>
            <w:hideMark/>
          </w:tcPr>
          <w:p w:rsidR="00FE54BC" w:rsidRPr="00744907" w:rsidRDefault="00FE54BC" w:rsidP="000377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 </w:t>
            </w:r>
          </w:p>
        </w:tc>
        <w:tc>
          <w:tcPr>
            <w:tcW w:w="1100" w:type="dxa"/>
            <w:vAlign w:val="center"/>
            <w:hideMark/>
          </w:tcPr>
          <w:p w:rsidR="00FE54BC" w:rsidRPr="00744907" w:rsidRDefault="00FE54BC" w:rsidP="000377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 </w:t>
            </w:r>
          </w:p>
        </w:tc>
      </w:tr>
      <w:tr w:rsidR="00FE54BC" w:rsidRPr="00037736" w:rsidTr="00744907">
        <w:trPr>
          <w:trHeight w:val="91"/>
          <w:jc w:val="center"/>
        </w:trPr>
        <w:tc>
          <w:tcPr>
            <w:cnfStyle w:val="001000000000" w:firstRow="0" w:lastRow="0" w:firstColumn="1" w:lastColumn="0" w:oddVBand="0" w:evenVBand="0" w:oddHBand="0" w:evenHBand="0" w:firstRowFirstColumn="0" w:firstRowLastColumn="0" w:lastRowFirstColumn="0" w:lastRowLastColumn="0"/>
            <w:tcW w:w="2249" w:type="dxa"/>
            <w:hideMark/>
          </w:tcPr>
          <w:p w:rsidR="00FE54BC" w:rsidRPr="00744907" w:rsidRDefault="00FE54BC" w:rsidP="007A33FF">
            <w:pPr>
              <w:rPr>
                <w:rFonts w:asciiTheme="minorHAnsi" w:hAnsiTheme="minorHAnsi" w:cstheme="minorHAnsi"/>
                <w:color w:val="000000"/>
                <w:szCs w:val="22"/>
              </w:rPr>
            </w:pPr>
            <w:r w:rsidRPr="00744907">
              <w:rPr>
                <w:rFonts w:asciiTheme="minorHAnsi" w:hAnsiTheme="minorHAnsi" w:cstheme="minorHAnsi"/>
                <w:color w:val="000000"/>
                <w:szCs w:val="22"/>
              </w:rPr>
              <w:t xml:space="preserve">Premium retained </w:t>
            </w:r>
          </w:p>
        </w:tc>
        <w:tc>
          <w:tcPr>
            <w:tcW w:w="960" w:type="dxa"/>
            <w:vAlign w:val="center"/>
            <w:hideMark/>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2.82</w:t>
            </w:r>
          </w:p>
        </w:tc>
        <w:tc>
          <w:tcPr>
            <w:tcW w:w="1100" w:type="dxa"/>
            <w:vAlign w:val="center"/>
            <w:hideMark/>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3.39</w:t>
            </w:r>
          </w:p>
        </w:tc>
        <w:tc>
          <w:tcPr>
            <w:tcW w:w="1100" w:type="dxa"/>
            <w:vAlign w:val="center"/>
            <w:hideMark/>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4.21</w:t>
            </w:r>
          </w:p>
        </w:tc>
        <w:tc>
          <w:tcPr>
            <w:tcW w:w="1100" w:type="dxa"/>
            <w:vAlign w:val="center"/>
            <w:hideMark/>
          </w:tcPr>
          <w:p w:rsidR="00FE54BC" w:rsidRPr="00744907" w:rsidRDefault="00FE54BC" w:rsidP="00BA0A1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4.85</w:t>
            </w:r>
          </w:p>
        </w:tc>
      </w:tr>
      <w:tr w:rsidR="00FE54BC" w:rsidRPr="00037736" w:rsidTr="00744907">
        <w:trPr>
          <w:trHeight w:val="44"/>
          <w:jc w:val="center"/>
        </w:trPr>
        <w:tc>
          <w:tcPr>
            <w:cnfStyle w:val="001000000000" w:firstRow="0" w:lastRow="0" w:firstColumn="1" w:lastColumn="0" w:oddVBand="0" w:evenVBand="0" w:oddHBand="0" w:evenHBand="0" w:firstRowFirstColumn="0" w:firstRowLastColumn="0" w:lastRowFirstColumn="0" w:lastRowLastColumn="0"/>
            <w:tcW w:w="2249" w:type="dxa"/>
            <w:hideMark/>
          </w:tcPr>
          <w:p w:rsidR="00FE54BC" w:rsidRPr="00744907" w:rsidRDefault="00FE54BC" w:rsidP="007A33FF">
            <w:pPr>
              <w:rPr>
                <w:rFonts w:asciiTheme="minorHAnsi" w:hAnsiTheme="minorHAnsi" w:cstheme="minorHAnsi"/>
                <w:color w:val="000000"/>
                <w:szCs w:val="22"/>
              </w:rPr>
            </w:pPr>
            <w:r w:rsidRPr="00744907">
              <w:rPr>
                <w:rFonts w:asciiTheme="minorHAnsi" w:hAnsiTheme="minorHAnsi" w:cstheme="minorHAnsi"/>
                <w:color w:val="000000"/>
                <w:szCs w:val="22"/>
              </w:rPr>
              <w:t>Retention Ratio</w:t>
            </w:r>
          </w:p>
        </w:tc>
        <w:tc>
          <w:tcPr>
            <w:tcW w:w="960" w:type="dxa"/>
            <w:vAlign w:val="center"/>
            <w:hideMark/>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29%</w:t>
            </w:r>
          </w:p>
        </w:tc>
        <w:tc>
          <w:tcPr>
            <w:tcW w:w="1100" w:type="dxa"/>
            <w:vAlign w:val="center"/>
            <w:hideMark/>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26%</w:t>
            </w:r>
          </w:p>
        </w:tc>
        <w:tc>
          <w:tcPr>
            <w:tcW w:w="1100" w:type="dxa"/>
            <w:vAlign w:val="center"/>
            <w:hideMark/>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35%</w:t>
            </w:r>
          </w:p>
        </w:tc>
        <w:tc>
          <w:tcPr>
            <w:tcW w:w="1100" w:type="dxa"/>
            <w:vAlign w:val="center"/>
            <w:hideMark/>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29%</w:t>
            </w:r>
          </w:p>
        </w:tc>
      </w:tr>
      <w:tr w:rsidR="00FE54BC" w:rsidRPr="00037736" w:rsidTr="00744907">
        <w:trPr>
          <w:trHeight w:val="552"/>
          <w:jc w:val="center"/>
        </w:trPr>
        <w:tc>
          <w:tcPr>
            <w:cnfStyle w:val="001000000000" w:firstRow="0" w:lastRow="0" w:firstColumn="1" w:lastColumn="0" w:oddVBand="0" w:evenVBand="0" w:oddHBand="0" w:evenHBand="0" w:firstRowFirstColumn="0" w:firstRowLastColumn="0" w:lastRowFirstColumn="0" w:lastRowLastColumn="0"/>
            <w:tcW w:w="2249" w:type="dxa"/>
          </w:tcPr>
          <w:p w:rsidR="00FE54BC" w:rsidRPr="00744907" w:rsidRDefault="00FE54BC" w:rsidP="007A33FF">
            <w:pPr>
              <w:rPr>
                <w:rFonts w:cstheme="minorHAnsi"/>
                <w:b w:val="0"/>
                <w:bCs w:val="0"/>
                <w:color w:val="000000"/>
              </w:rPr>
            </w:pPr>
          </w:p>
        </w:tc>
        <w:tc>
          <w:tcPr>
            <w:tcW w:w="960" w:type="dxa"/>
            <w:vAlign w:val="center"/>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744907">
              <w:rPr>
                <w:rFonts w:ascii="Calibri" w:hAnsi="Calibri" w:cs="Calibri"/>
                <w:bCs/>
                <w:color w:val="000000"/>
                <w:szCs w:val="22"/>
              </w:rPr>
              <w:t> </w:t>
            </w:r>
          </w:p>
        </w:tc>
        <w:tc>
          <w:tcPr>
            <w:tcW w:w="1100" w:type="dxa"/>
            <w:vAlign w:val="center"/>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744907">
              <w:rPr>
                <w:rFonts w:ascii="Calibri" w:hAnsi="Calibri" w:cs="Calibri"/>
                <w:bCs/>
                <w:color w:val="000000"/>
                <w:szCs w:val="22"/>
              </w:rPr>
              <w:t> </w:t>
            </w:r>
          </w:p>
        </w:tc>
        <w:tc>
          <w:tcPr>
            <w:tcW w:w="1100" w:type="dxa"/>
            <w:vAlign w:val="center"/>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744907">
              <w:rPr>
                <w:rFonts w:ascii="Calibri" w:hAnsi="Calibri" w:cs="Calibri"/>
                <w:bCs/>
                <w:color w:val="000000"/>
                <w:szCs w:val="22"/>
              </w:rPr>
              <w:t> </w:t>
            </w:r>
          </w:p>
        </w:tc>
        <w:tc>
          <w:tcPr>
            <w:tcW w:w="1100" w:type="dxa"/>
            <w:vAlign w:val="center"/>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744907">
              <w:rPr>
                <w:rFonts w:ascii="Calibri" w:hAnsi="Calibri" w:cs="Calibri"/>
                <w:bCs/>
                <w:color w:val="000000"/>
                <w:szCs w:val="22"/>
              </w:rPr>
              <w:t> </w:t>
            </w:r>
          </w:p>
        </w:tc>
      </w:tr>
      <w:tr w:rsidR="00FE54BC" w:rsidRPr="00037736" w:rsidTr="00744907">
        <w:trPr>
          <w:trHeight w:val="44"/>
          <w:jc w:val="center"/>
        </w:trPr>
        <w:tc>
          <w:tcPr>
            <w:cnfStyle w:val="001000000000" w:firstRow="0" w:lastRow="0" w:firstColumn="1" w:lastColumn="0" w:oddVBand="0" w:evenVBand="0" w:oddHBand="0" w:evenHBand="0" w:firstRowFirstColumn="0" w:firstRowLastColumn="0" w:lastRowFirstColumn="0" w:lastRowLastColumn="0"/>
            <w:tcW w:w="2249" w:type="dxa"/>
            <w:hideMark/>
          </w:tcPr>
          <w:p w:rsidR="00FE54BC" w:rsidRPr="00744907" w:rsidRDefault="00FE54BC" w:rsidP="007A33FF">
            <w:pPr>
              <w:rPr>
                <w:rFonts w:asciiTheme="minorHAnsi" w:hAnsiTheme="minorHAnsi" w:cstheme="minorHAnsi"/>
                <w:color w:val="000000"/>
                <w:szCs w:val="22"/>
              </w:rPr>
            </w:pPr>
            <w:r w:rsidRPr="00744907">
              <w:rPr>
                <w:rFonts w:asciiTheme="minorHAnsi" w:hAnsiTheme="minorHAnsi" w:cstheme="minorHAnsi"/>
                <w:color w:val="000000"/>
                <w:szCs w:val="22"/>
              </w:rPr>
              <w:t>Paid to reinsurer</w:t>
            </w:r>
          </w:p>
        </w:tc>
        <w:tc>
          <w:tcPr>
            <w:tcW w:w="960" w:type="dxa"/>
            <w:vAlign w:val="center"/>
            <w:hideMark/>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7.70</w:t>
            </w:r>
          </w:p>
        </w:tc>
        <w:tc>
          <w:tcPr>
            <w:tcW w:w="1100" w:type="dxa"/>
            <w:vAlign w:val="center"/>
            <w:hideMark/>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10.46</w:t>
            </w:r>
          </w:p>
        </w:tc>
        <w:tc>
          <w:tcPr>
            <w:tcW w:w="1100" w:type="dxa"/>
            <w:noWrap/>
            <w:vAlign w:val="center"/>
            <w:hideMark/>
          </w:tcPr>
          <w:p w:rsidR="00FE54BC" w:rsidRPr="00744907" w:rsidRDefault="00FE54BC" w:rsidP="00F446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r w:rsidRPr="00744907">
              <w:rPr>
                <w:rFonts w:ascii="Calibri" w:hAnsi="Calibri" w:cs="Calibri"/>
                <w:bCs/>
                <w:color w:val="000000"/>
                <w:szCs w:val="22"/>
              </w:rPr>
              <w:t>8.88</w:t>
            </w:r>
          </w:p>
        </w:tc>
        <w:tc>
          <w:tcPr>
            <w:tcW w:w="1100" w:type="dxa"/>
            <w:vAlign w:val="center"/>
            <w:hideMark/>
          </w:tcPr>
          <w:p w:rsidR="00FE54BC" w:rsidRPr="00744907" w:rsidRDefault="00FE54BC" w:rsidP="00BA0A1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12.61</w:t>
            </w:r>
          </w:p>
        </w:tc>
      </w:tr>
      <w:tr w:rsidR="00FE54BC" w:rsidRPr="00037736" w:rsidTr="00744907">
        <w:trPr>
          <w:trHeight w:val="44"/>
          <w:jc w:val="center"/>
        </w:trPr>
        <w:tc>
          <w:tcPr>
            <w:cnfStyle w:val="001000000000" w:firstRow="0" w:lastRow="0" w:firstColumn="1" w:lastColumn="0" w:oddVBand="0" w:evenVBand="0" w:oddHBand="0" w:evenHBand="0" w:firstRowFirstColumn="0" w:firstRowLastColumn="0" w:lastRowFirstColumn="0" w:lastRowLastColumn="0"/>
            <w:tcW w:w="2249" w:type="dxa"/>
            <w:hideMark/>
          </w:tcPr>
          <w:p w:rsidR="00FE54BC" w:rsidRPr="00744907" w:rsidRDefault="00FE54BC" w:rsidP="007A33FF">
            <w:pPr>
              <w:rPr>
                <w:rFonts w:asciiTheme="minorHAnsi" w:hAnsiTheme="minorHAnsi" w:cstheme="minorHAnsi"/>
                <w:color w:val="000000"/>
                <w:szCs w:val="22"/>
              </w:rPr>
            </w:pPr>
            <w:r w:rsidRPr="00744907">
              <w:rPr>
                <w:rFonts w:asciiTheme="minorHAnsi" w:hAnsiTheme="minorHAnsi" w:cstheme="minorHAnsi"/>
                <w:color w:val="000000"/>
                <w:szCs w:val="22"/>
              </w:rPr>
              <w:t>Reinsurance Ratio</w:t>
            </w:r>
          </w:p>
        </w:tc>
        <w:tc>
          <w:tcPr>
            <w:tcW w:w="960" w:type="dxa"/>
            <w:vAlign w:val="center"/>
            <w:hideMark/>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80%</w:t>
            </w:r>
          </w:p>
        </w:tc>
        <w:tc>
          <w:tcPr>
            <w:tcW w:w="1100" w:type="dxa"/>
            <w:vAlign w:val="center"/>
            <w:hideMark/>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81%</w:t>
            </w:r>
          </w:p>
        </w:tc>
        <w:tc>
          <w:tcPr>
            <w:tcW w:w="1100" w:type="dxa"/>
            <w:vAlign w:val="center"/>
            <w:hideMark/>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73%</w:t>
            </w:r>
          </w:p>
        </w:tc>
        <w:tc>
          <w:tcPr>
            <w:tcW w:w="1100" w:type="dxa"/>
            <w:vAlign w:val="center"/>
            <w:hideMark/>
          </w:tcPr>
          <w:p w:rsidR="00FE54BC" w:rsidRPr="00744907" w:rsidRDefault="00FE54BC"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Cs w:val="22"/>
              </w:rPr>
            </w:pPr>
            <w:r w:rsidRPr="00744907">
              <w:rPr>
                <w:rFonts w:ascii="Calibri" w:hAnsi="Calibri" w:cs="Calibri"/>
                <w:bCs/>
                <w:color w:val="000000"/>
                <w:szCs w:val="22"/>
              </w:rPr>
              <w:t>76%</w:t>
            </w:r>
          </w:p>
        </w:tc>
      </w:tr>
      <w:tr w:rsidR="00037736" w:rsidRPr="00037736" w:rsidTr="00744907">
        <w:trPr>
          <w:trHeight w:val="300"/>
          <w:jc w:val="center"/>
        </w:trPr>
        <w:tc>
          <w:tcPr>
            <w:cnfStyle w:val="001000000000" w:firstRow="0" w:lastRow="0" w:firstColumn="1" w:lastColumn="0" w:oddVBand="0" w:evenVBand="0" w:oddHBand="0" w:evenHBand="0" w:firstRowFirstColumn="0" w:firstRowLastColumn="0" w:lastRowFirstColumn="0" w:lastRowLastColumn="0"/>
            <w:tcW w:w="2249" w:type="dxa"/>
            <w:shd w:val="clear" w:color="auto" w:fill="auto"/>
            <w:noWrap/>
            <w:hideMark/>
          </w:tcPr>
          <w:p w:rsidR="00037736" w:rsidRPr="00744907" w:rsidRDefault="00037736" w:rsidP="00037736">
            <w:pPr>
              <w:rPr>
                <w:rFonts w:asciiTheme="minorHAnsi" w:hAnsiTheme="minorHAnsi" w:cstheme="minorHAnsi"/>
                <w:color w:val="000000"/>
                <w:szCs w:val="22"/>
              </w:rPr>
            </w:pPr>
          </w:p>
        </w:tc>
        <w:tc>
          <w:tcPr>
            <w:tcW w:w="960" w:type="dxa"/>
            <w:shd w:val="clear" w:color="auto" w:fill="auto"/>
            <w:noWrap/>
          </w:tcPr>
          <w:p w:rsidR="00037736" w:rsidRPr="00744907" w:rsidRDefault="00037736"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
        </w:tc>
        <w:tc>
          <w:tcPr>
            <w:tcW w:w="1100" w:type="dxa"/>
            <w:shd w:val="clear" w:color="auto" w:fill="auto"/>
            <w:noWrap/>
          </w:tcPr>
          <w:p w:rsidR="00037736" w:rsidRPr="00744907" w:rsidRDefault="00037736"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
        </w:tc>
        <w:tc>
          <w:tcPr>
            <w:tcW w:w="1100" w:type="dxa"/>
            <w:shd w:val="clear" w:color="auto" w:fill="auto"/>
            <w:noWrap/>
          </w:tcPr>
          <w:p w:rsidR="00037736" w:rsidRPr="00744907" w:rsidRDefault="00037736"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
        </w:tc>
        <w:tc>
          <w:tcPr>
            <w:tcW w:w="1100" w:type="dxa"/>
            <w:shd w:val="clear" w:color="auto" w:fill="auto"/>
            <w:noWrap/>
          </w:tcPr>
          <w:p w:rsidR="00037736" w:rsidRPr="00744907" w:rsidRDefault="00037736" w:rsidP="0003773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rPr>
            </w:pPr>
          </w:p>
        </w:tc>
      </w:tr>
    </w:tbl>
    <w:p w:rsidR="00037736" w:rsidRDefault="00037736" w:rsidP="00085318">
      <w:pPr>
        <w:pStyle w:val="NoSpacing"/>
      </w:pPr>
    </w:p>
    <w:p w:rsidR="00744907" w:rsidRDefault="00744907" w:rsidP="00085318">
      <w:pPr>
        <w:pStyle w:val="NoSpacing"/>
      </w:pPr>
    </w:p>
    <w:p w:rsidR="00DB77BF" w:rsidRPr="00744907" w:rsidRDefault="007A74DA" w:rsidP="00FE30D6">
      <w:pPr>
        <w:pStyle w:val="NoSpacing"/>
        <w:jc w:val="both"/>
        <w:rPr>
          <w:rFonts w:cstheme="minorHAnsi"/>
          <w:sz w:val="24"/>
          <w:szCs w:val="24"/>
        </w:rPr>
      </w:pPr>
      <w:r w:rsidRPr="00744907">
        <w:rPr>
          <w:rFonts w:cstheme="minorHAnsi"/>
          <w:sz w:val="24"/>
          <w:szCs w:val="24"/>
        </w:rPr>
        <w:t xml:space="preserve">There has been a slight improvement in the retention ratio </w:t>
      </w:r>
      <w:r w:rsidR="00085318" w:rsidRPr="00744907">
        <w:rPr>
          <w:rFonts w:cstheme="minorHAnsi"/>
          <w:sz w:val="24"/>
          <w:szCs w:val="24"/>
        </w:rPr>
        <w:t>by the insurance industry in Afghanistan</w:t>
      </w:r>
      <w:r w:rsidRPr="00744907">
        <w:rPr>
          <w:rFonts w:cstheme="minorHAnsi"/>
          <w:sz w:val="24"/>
          <w:szCs w:val="24"/>
        </w:rPr>
        <w:t>, whereby</w:t>
      </w:r>
      <w:r w:rsidR="00085318" w:rsidRPr="00744907">
        <w:rPr>
          <w:rFonts w:cstheme="minorHAnsi"/>
          <w:sz w:val="24"/>
          <w:szCs w:val="24"/>
        </w:rPr>
        <w:t xml:space="preserve"> </w:t>
      </w:r>
      <w:r w:rsidR="00744907" w:rsidRPr="00744907">
        <w:rPr>
          <w:rFonts w:cstheme="minorHAnsi"/>
          <w:sz w:val="24"/>
          <w:szCs w:val="24"/>
        </w:rPr>
        <w:t>the retention ratio</w:t>
      </w:r>
      <w:r w:rsidRPr="00744907">
        <w:rPr>
          <w:rFonts w:cstheme="minorHAnsi"/>
          <w:sz w:val="24"/>
          <w:szCs w:val="24"/>
        </w:rPr>
        <w:t xml:space="preserve"> </w:t>
      </w:r>
      <w:r w:rsidR="00085318" w:rsidRPr="00744907">
        <w:rPr>
          <w:rFonts w:cstheme="minorHAnsi"/>
          <w:sz w:val="24"/>
          <w:szCs w:val="24"/>
        </w:rPr>
        <w:t xml:space="preserve">has increased </w:t>
      </w:r>
      <w:r w:rsidRPr="00744907">
        <w:rPr>
          <w:rFonts w:cstheme="minorHAnsi"/>
          <w:sz w:val="24"/>
          <w:szCs w:val="24"/>
        </w:rPr>
        <w:t>26% in</w:t>
      </w:r>
      <w:r w:rsidR="00085318" w:rsidRPr="00744907">
        <w:rPr>
          <w:rFonts w:cstheme="minorHAnsi"/>
          <w:sz w:val="24"/>
          <w:szCs w:val="24"/>
        </w:rPr>
        <w:t xml:space="preserve"> 2015 to </w:t>
      </w:r>
      <w:r w:rsidRPr="00744907">
        <w:rPr>
          <w:rFonts w:cstheme="minorHAnsi"/>
          <w:sz w:val="24"/>
          <w:szCs w:val="24"/>
        </w:rPr>
        <w:t>29%</w:t>
      </w:r>
      <w:r w:rsidR="00085318" w:rsidRPr="00744907">
        <w:rPr>
          <w:rFonts w:cstheme="minorHAnsi"/>
          <w:sz w:val="24"/>
          <w:szCs w:val="24"/>
        </w:rPr>
        <w:t xml:space="preserve"> in 2018</w:t>
      </w:r>
      <w:r w:rsidRPr="00744907">
        <w:rPr>
          <w:rFonts w:cstheme="minorHAnsi"/>
          <w:sz w:val="24"/>
          <w:szCs w:val="24"/>
        </w:rPr>
        <w:t>.  This shows that the local insurance companies are retaining more risk locally than passing it on to the foreign reinsurers.  The GDIA will continue to encourage local insurers to increase their financial capacity, hence increasing their local risk retention capacity.</w:t>
      </w:r>
    </w:p>
    <w:p w:rsidR="00E03B08" w:rsidRDefault="00E03B08" w:rsidP="00FE30D6">
      <w:pPr>
        <w:pStyle w:val="NoSpacing"/>
        <w:jc w:val="both"/>
        <w:rPr>
          <w:rFonts w:cstheme="minorHAnsi"/>
        </w:rPr>
      </w:pPr>
    </w:p>
    <w:p w:rsidR="00744907" w:rsidRDefault="00744907" w:rsidP="00FE30D6">
      <w:pPr>
        <w:pStyle w:val="NoSpacing"/>
        <w:jc w:val="both"/>
        <w:rPr>
          <w:rFonts w:cstheme="minorHAnsi"/>
        </w:rPr>
      </w:pPr>
    </w:p>
    <w:p w:rsidR="00744907" w:rsidRDefault="00744907">
      <w:pPr>
        <w:spacing w:after="160" w:line="259" w:lineRule="auto"/>
        <w:rPr>
          <w:b/>
          <w:bCs/>
          <w:color w:val="4F81BD" w:themeColor="accent1"/>
          <w:szCs w:val="18"/>
        </w:rPr>
      </w:pPr>
      <w:r>
        <w:br w:type="page"/>
      </w:r>
    </w:p>
    <w:p w:rsidR="00E03B08" w:rsidRPr="00744907" w:rsidRDefault="00E03B08" w:rsidP="00E03B08">
      <w:pPr>
        <w:pStyle w:val="Caption"/>
        <w:jc w:val="center"/>
        <w:rPr>
          <w:rFonts w:asciiTheme="majorBidi" w:eastAsiaTheme="majorEastAsia" w:hAnsiTheme="majorBidi" w:cstheme="majorBidi"/>
          <w:b w:val="0"/>
          <w:sz w:val="24"/>
        </w:rPr>
      </w:pPr>
      <w:r w:rsidRPr="00744907">
        <w:rPr>
          <w:sz w:val="24"/>
        </w:rPr>
        <w:lastRenderedPageBreak/>
        <w:t xml:space="preserve">Table </w:t>
      </w:r>
      <w:r w:rsidRPr="00744907">
        <w:rPr>
          <w:sz w:val="24"/>
        </w:rPr>
        <w:fldChar w:fldCharType="begin"/>
      </w:r>
      <w:r w:rsidRPr="00744907">
        <w:rPr>
          <w:sz w:val="24"/>
        </w:rPr>
        <w:instrText xml:space="preserve"> SEQ Table \* ARABIC </w:instrText>
      </w:r>
      <w:r w:rsidRPr="00744907">
        <w:rPr>
          <w:sz w:val="24"/>
        </w:rPr>
        <w:fldChar w:fldCharType="separate"/>
      </w:r>
      <w:r w:rsidR="00D65C8E" w:rsidRPr="00744907">
        <w:rPr>
          <w:noProof/>
          <w:sz w:val="24"/>
        </w:rPr>
        <w:t>7</w:t>
      </w:r>
      <w:r w:rsidRPr="00744907">
        <w:rPr>
          <w:sz w:val="24"/>
        </w:rPr>
        <w:fldChar w:fldCharType="end"/>
      </w:r>
      <w:r w:rsidRPr="00744907">
        <w:rPr>
          <w:sz w:val="24"/>
        </w:rPr>
        <w:t xml:space="preserve">: Performance Ratios of </w:t>
      </w:r>
      <w:r w:rsidR="001F24AA">
        <w:rPr>
          <w:sz w:val="24"/>
        </w:rPr>
        <w:t>the Insurance Industry in Afghanistan</w:t>
      </w:r>
    </w:p>
    <w:tbl>
      <w:tblPr>
        <w:tblStyle w:val="GridTable1Light-Accent51"/>
        <w:tblW w:w="8291" w:type="dxa"/>
        <w:jc w:val="center"/>
        <w:tblLook w:val="04A0" w:firstRow="1" w:lastRow="0" w:firstColumn="1" w:lastColumn="0" w:noHBand="0" w:noVBand="1"/>
      </w:tblPr>
      <w:tblGrid>
        <w:gridCol w:w="3331"/>
        <w:gridCol w:w="1240"/>
        <w:gridCol w:w="1240"/>
        <w:gridCol w:w="1240"/>
        <w:gridCol w:w="1240"/>
      </w:tblGrid>
      <w:tr w:rsidR="00E03B08" w:rsidRPr="00744907" w:rsidTr="0074490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color w:val="000000"/>
              </w:rPr>
            </w:pPr>
          </w:p>
        </w:tc>
        <w:tc>
          <w:tcPr>
            <w:tcW w:w="1240" w:type="dxa"/>
            <w:noWrap/>
            <w:hideMark/>
          </w:tcPr>
          <w:p w:rsidR="00E03B08" w:rsidRPr="00744907" w:rsidRDefault="00E03B08" w:rsidP="005A3ACB">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2015</w:t>
            </w:r>
          </w:p>
        </w:tc>
        <w:tc>
          <w:tcPr>
            <w:tcW w:w="1240" w:type="dxa"/>
            <w:noWrap/>
            <w:hideMark/>
          </w:tcPr>
          <w:p w:rsidR="00E03B08" w:rsidRPr="00744907" w:rsidRDefault="00E03B08" w:rsidP="005A3ACB">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2016</w:t>
            </w:r>
          </w:p>
        </w:tc>
        <w:tc>
          <w:tcPr>
            <w:tcW w:w="1240" w:type="dxa"/>
            <w:noWrap/>
            <w:hideMark/>
          </w:tcPr>
          <w:p w:rsidR="00E03B08" w:rsidRPr="00744907" w:rsidRDefault="00E03B08" w:rsidP="005A3ACB">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2017</w:t>
            </w:r>
          </w:p>
        </w:tc>
        <w:tc>
          <w:tcPr>
            <w:tcW w:w="1240" w:type="dxa"/>
            <w:noWrap/>
            <w:hideMark/>
          </w:tcPr>
          <w:p w:rsidR="00E03B08" w:rsidRPr="00744907" w:rsidRDefault="00E03B08" w:rsidP="005A3ACB">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2018</w:t>
            </w:r>
          </w:p>
        </w:tc>
      </w:tr>
      <w:tr w:rsidR="00E03B08" w:rsidRPr="00744907" w:rsidTr="00744907">
        <w:trPr>
          <w:trHeight w:val="300"/>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b w:val="0"/>
                <w:color w:val="000000"/>
              </w:rPr>
            </w:pPr>
            <w:r w:rsidRPr="00744907">
              <w:rPr>
                <w:rFonts w:asciiTheme="minorHAnsi" w:hAnsiTheme="minorHAnsi" w:cstheme="minorHAnsi"/>
                <w:b w:val="0"/>
                <w:color w:val="000000"/>
              </w:rPr>
              <w:t>Total assets</w:t>
            </w:r>
          </w:p>
        </w:tc>
        <w:tc>
          <w:tcPr>
            <w:tcW w:w="1240" w:type="dxa"/>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26.61</w:t>
            </w:r>
          </w:p>
        </w:tc>
        <w:tc>
          <w:tcPr>
            <w:tcW w:w="1240" w:type="dxa"/>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27.19</w:t>
            </w:r>
          </w:p>
        </w:tc>
        <w:tc>
          <w:tcPr>
            <w:tcW w:w="1240" w:type="dxa"/>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27.19</w:t>
            </w:r>
          </w:p>
        </w:tc>
        <w:tc>
          <w:tcPr>
            <w:tcW w:w="1240" w:type="dxa"/>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28.02</w:t>
            </w: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b w:val="0"/>
                <w:color w:val="000000"/>
              </w:rPr>
            </w:pPr>
            <w:r w:rsidRPr="00744907">
              <w:rPr>
                <w:rFonts w:asciiTheme="minorHAnsi" w:hAnsiTheme="minorHAnsi" w:cstheme="minorHAnsi"/>
                <w:b w:val="0"/>
                <w:color w:val="000000"/>
              </w:rPr>
              <w:t xml:space="preserve">Gross Premium </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9.59</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12.91</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12.16</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16.54</w:t>
            </w: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color w:val="000000"/>
              </w:rPr>
            </w:pPr>
            <w:r w:rsidRPr="00744907">
              <w:rPr>
                <w:rFonts w:asciiTheme="minorHAnsi" w:hAnsiTheme="minorHAnsi" w:cstheme="minorHAnsi"/>
                <w:color w:val="000000"/>
              </w:rPr>
              <w:t>Total Assets to Premium Ratio</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36%</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47%</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45%</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59%</w:t>
            </w:r>
          </w:p>
        </w:tc>
      </w:tr>
      <w:tr w:rsidR="00E03B08" w:rsidRPr="00744907" w:rsidTr="00744907">
        <w:trPr>
          <w:trHeight w:val="300"/>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E03B08" w:rsidRPr="00744907" w:rsidTr="00744907">
        <w:trPr>
          <w:trHeight w:val="300"/>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b w:val="0"/>
                <w:color w:val="000000"/>
              </w:rPr>
            </w:pPr>
            <w:r w:rsidRPr="00744907">
              <w:rPr>
                <w:rFonts w:asciiTheme="minorHAnsi" w:hAnsiTheme="minorHAnsi" w:cstheme="minorHAnsi"/>
                <w:b w:val="0"/>
                <w:color w:val="000000"/>
              </w:rPr>
              <w:t>Total equity</w:t>
            </w:r>
          </w:p>
        </w:tc>
        <w:tc>
          <w:tcPr>
            <w:tcW w:w="1240" w:type="dxa"/>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20.48</w:t>
            </w:r>
          </w:p>
        </w:tc>
        <w:tc>
          <w:tcPr>
            <w:tcW w:w="1240" w:type="dxa"/>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19.46</w:t>
            </w:r>
          </w:p>
        </w:tc>
        <w:tc>
          <w:tcPr>
            <w:tcW w:w="1240" w:type="dxa"/>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20.40</w:t>
            </w:r>
          </w:p>
        </w:tc>
        <w:tc>
          <w:tcPr>
            <w:tcW w:w="1240" w:type="dxa"/>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20.56</w:t>
            </w:r>
          </w:p>
        </w:tc>
      </w:tr>
      <w:tr w:rsidR="00E03B08" w:rsidRPr="00744907" w:rsidTr="00744907">
        <w:trPr>
          <w:trHeight w:val="300"/>
          <w:jc w:val="center"/>
        </w:trPr>
        <w:tc>
          <w:tcPr>
            <w:cnfStyle w:val="001000000000" w:firstRow="0" w:lastRow="0" w:firstColumn="1" w:lastColumn="0" w:oddVBand="0" w:evenVBand="0" w:oddHBand="0" w:evenHBand="0" w:firstRowFirstColumn="0" w:firstRowLastColumn="0" w:lastRowFirstColumn="0" w:lastRowLastColumn="0"/>
            <w:tcW w:w="3331" w:type="dxa"/>
            <w:hideMark/>
          </w:tcPr>
          <w:p w:rsidR="00E03B08" w:rsidRPr="00744907" w:rsidRDefault="00E03B08" w:rsidP="005A3ACB">
            <w:pPr>
              <w:jc w:val="both"/>
              <w:rPr>
                <w:rFonts w:asciiTheme="minorHAnsi" w:hAnsiTheme="minorHAnsi" w:cstheme="minorHAnsi"/>
                <w:b w:val="0"/>
                <w:color w:val="000000"/>
              </w:rPr>
            </w:pPr>
            <w:r w:rsidRPr="00744907">
              <w:rPr>
                <w:rFonts w:asciiTheme="minorHAnsi" w:hAnsiTheme="minorHAnsi" w:cstheme="minorHAnsi"/>
                <w:b w:val="0"/>
                <w:color w:val="000000"/>
              </w:rPr>
              <w:t>Profit before tax</w:t>
            </w:r>
          </w:p>
        </w:tc>
        <w:tc>
          <w:tcPr>
            <w:tcW w:w="1240" w:type="dxa"/>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0.13</w:t>
            </w:r>
          </w:p>
        </w:tc>
        <w:tc>
          <w:tcPr>
            <w:tcW w:w="1240" w:type="dxa"/>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0.50</w:t>
            </w:r>
          </w:p>
        </w:tc>
        <w:tc>
          <w:tcPr>
            <w:tcW w:w="1240" w:type="dxa"/>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0.57</w:t>
            </w:r>
          </w:p>
        </w:tc>
        <w:tc>
          <w:tcPr>
            <w:tcW w:w="1240" w:type="dxa"/>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-0.22</w:t>
            </w: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color w:val="000000"/>
              </w:rPr>
            </w:pPr>
            <w:r w:rsidRPr="00744907">
              <w:rPr>
                <w:rFonts w:asciiTheme="minorHAnsi" w:hAnsiTheme="minorHAnsi" w:cstheme="minorHAnsi"/>
                <w:color w:val="000000"/>
              </w:rPr>
              <w:t>Total Assets to Premium Ratio</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3%</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3%</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w:t>
            </w: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E03B08" w:rsidRPr="00744907" w:rsidTr="00744907">
        <w:trPr>
          <w:trHeight w:val="300"/>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b w:val="0"/>
                <w:color w:val="000000"/>
              </w:rPr>
            </w:pPr>
            <w:r w:rsidRPr="00744907">
              <w:rPr>
                <w:rFonts w:asciiTheme="minorHAnsi" w:hAnsiTheme="minorHAnsi" w:cstheme="minorHAnsi"/>
                <w:b w:val="0"/>
                <w:color w:val="000000"/>
              </w:rPr>
              <w:t xml:space="preserve">Gross Premium </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9.59</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12.91</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12.16</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16.54</w:t>
            </w:r>
          </w:p>
        </w:tc>
      </w:tr>
      <w:tr w:rsidR="00E03B08" w:rsidRPr="00744907" w:rsidTr="00744907">
        <w:trPr>
          <w:trHeight w:val="300"/>
          <w:jc w:val="center"/>
        </w:trPr>
        <w:tc>
          <w:tcPr>
            <w:cnfStyle w:val="001000000000" w:firstRow="0" w:lastRow="0" w:firstColumn="1" w:lastColumn="0" w:oddVBand="0" w:evenVBand="0" w:oddHBand="0" w:evenHBand="0" w:firstRowFirstColumn="0" w:firstRowLastColumn="0" w:lastRowFirstColumn="0" w:lastRowLastColumn="0"/>
            <w:tcW w:w="3331" w:type="dxa"/>
            <w:hideMark/>
          </w:tcPr>
          <w:p w:rsidR="00E03B08" w:rsidRPr="00744907" w:rsidRDefault="00E03B08" w:rsidP="005A3ACB">
            <w:pPr>
              <w:jc w:val="both"/>
              <w:rPr>
                <w:rFonts w:asciiTheme="minorHAnsi" w:hAnsiTheme="minorHAnsi" w:cstheme="minorHAnsi"/>
                <w:b w:val="0"/>
                <w:color w:val="000000"/>
              </w:rPr>
            </w:pPr>
            <w:r w:rsidRPr="00744907">
              <w:rPr>
                <w:rFonts w:asciiTheme="minorHAnsi" w:hAnsiTheme="minorHAnsi" w:cstheme="minorHAnsi"/>
                <w:b w:val="0"/>
                <w:color w:val="000000"/>
              </w:rPr>
              <w:t>Profit before tax</w:t>
            </w:r>
          </w:p>
        </w:tc>
        <w:tc>
          <w:tcPr>
            <w:tcW w:w="1240" w:type="dxa"/>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0.13</w:t>
            </w:r>
          </w:p>
        </w:tc>
        <w:tc>
          <w:tcPr>
            <w:tcW w:w="1240" w:type="dxa"/>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0.50</w:t>
            </w:r>
          </w:p>
        </w:tc>
        <w:tc>
          <w:tcPr>
            <w:tcW w:w="1240" w:type="dxa"/>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0.57</w:t>
            </w:r>
          </w:p>
        </w:tc>
        <w:tc>
          <w:tcPr>
            <w:tcW w:w="1240" w:type="dxa"/>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-0.22</w:t>
            </w: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color w:val="000000"/>
              </w:rPr>
            </w:pPr>
            <w:r w:rsidRPr="00744907">
              <w:rPr>
                <w:rFonts w:asciiTheme="minorHAnsi" w:hAnsiTheme="minorHAnsi" w:cstheme="minorHAnsi"/>
                <w:color w:val="000000"/>
              </w:rPr>
              <w:t>Profitability Ratio</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4%</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5%</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w:t>
            </w: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b w:val="0"/>
                <w:color w:val="000000"/>
              </w:rPr>
            </w:pPr>
            <w:r w:rsidRPr="00744907">
              <w:rPr>
                <w:rFonts w:asciiTheme="minorHAnsi" w:hAnsiTheme="minorHAnsi" w:cstheme="minorHAnsi"/>
                <w:b w:val="0"/>
                <w:color w:val="000000"/>
              </w:rPr>
              <w:t xml:space="preserve">Gross Premium </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9.59</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12.91</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12.16</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16.54</w:t>
            </w: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b w:val="0"/>
                <w:color w:val="000000"/>
              </w:rPr>
            </w:pPr>
            <w:r w:rsidRPr="00744907">
              <w:rPr>
                <w:rFonts w:asciiTheme="minorHAnsi" w:hAnsiTheme="minorHAnsi" w:cstheme="minorHAnsi"/>
                <w:b w:val="0"/>
                <w:color w:val="000000"/>
              </w:rPr>
              <w:t>Claims paid</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1.55</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1.02</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1.82</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1.47</w:t>
            </w: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color w:val="000000"/>
              </w:rPr>
            </w:pPr>
            <w:r w:rsidRPr="00744907">
              <w:rPr>
                <w:rFonts w:asciiTheme="minorHAnsi" w:hAnsiTheme="minorHAnsi" w:cstheme="minorHAnsi"/>
                <w:color w:val="000000"/>
              </w:rPr>
              <w:t>Claims Ratio</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16%</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8%</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15%</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9%</w:t>
            </w: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b w:val="0"/>
                <w:color w:val="000000"/>
              </w:rPr>
            </w:pPr>
            <w:r w:rsidRPr="00744907">
              <w:rPr>
                <w:rFonts w:asciiTheme="minorHAnsi" w:hAnsiTheme="minorHAnsi" w:cstheme="minorHAnsi"/>
                <w:b w:val="0"/>
                <w:color w:val="000000"/>
              </w:rPr>
              <w:t xml:space="preserve">Gross Premium </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9.59</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12.91</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12.16</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16.54</w:t>
            </w: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b w:val="0"/>
                <w:color w:val="000000"/>
              </w:rPr>
            </w:pPr>
            <w:r w:rsidRPr="00744907">
              <w:rPr>
                <w:rFonts w:asciiTheme="minorHAnsi" w:hAnsiTheme="minorHAnsi" w:cstheme="minorHAnsi"/>
                <w:b w:val="0"/>
                <w:color w:val="000000"/>
              </w:rPr>
              <w:t xml:space="preserve">Premium retained </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2.82</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3.39</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4.21</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4.85</w:t>
            </w: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color w:val="000000"/>
              </w:rPr>
            </w:pPr>
            <w:r w:rsidRPr="00744907">
              <w:rPr>
                <w:rFonts w:asciiTheme="minorHAnsi" w:hAnsiTheme="minorHAnsi" w:cstheme="minorHAnsi"/>
                <w:color w:val="000000"/>
              </w:rPr>
              <w:t>Retention Ratio</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29%</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26%</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35%</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29%</w:t>
            </w: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b w:val="0"/>
                <w:color w:val="000000"/>
              </w:rPr>
            </w:pPr>
            <w:r w:rsidRPr="00744907">
              <w:rPr>
                <w:rFonts w:asciiTheme="minorHAnsi" w:hAnsiTheme="minorHAnsi" w:cstheme="minorHAnsi"/>
                <w:b w:val="0"/>
                <w:color w:val="000000"/>
              </w:rPr>
              <w:t xml:space="preserve">Gross Premium </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9.59</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12.91</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12.16</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16.54</w:t>
            </w: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b w:val="0"/>
                <w:color w:val="000000"/>
              </w:rPr>
            </w:pPr>
            <w:r w:rsidRPr="00744907">
              <w:rPr>
                <w:rFonts w:asciiTheme="minorHAnsi" w:hAnsiTheme="minorHAnsi" w:cstheme="minorHAnsi"/>
                <w:b w:val="0"/>
                <w:color w:val="000000"/>
              </w:rPr>
              <w:t>Ceded to reinsurer</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7.70</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10.46</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8.88</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12.61</w:t>
            </w:r>
          </w:p>
        </w:tc>
      </w:tr>
      <w:tr w:rsidR="00E03B08" w:rsidRPr="00744907" w:rsidTr="00744907">
        <w:trPr>
          <w:trHeight w:val="288"/>
          <w:jc w:val="center"/>
        </w:trPr>
        <w:tc>
          <w:tcPr>
            <w:cnfStyle w:val="001000000000" w:firstRow="0" w:lastRow="0" w:firstColumn="1" w:lastColumn="0" w:oddVBand="0" w:evenVBand="0" w:oddHBand="0" w:evenHBand="0" w:firstRowFirstColumn="0" w:firstRowLastColumn="0" w:lastRowFirstColumn="0" w:lastRowLastColumn="0"/>
            <w:tcW w:w="3331" w:type="dxa"/>
            <w:noWrap/>
            <w:hideMark/>
          </w:tcPr>
          <w:p w:rsidR="00E03B08" w:rsidRPr="00744907" w:rsidRDefault="00E03B08" w:rsidP="005A3ACB">
            <w:pPr>
              <w:rPr>
                <w:rFonts w:asciiTheme="minorHAnsi" w:hAnsiTheme="minorHAnsi" w:cstheme="minorHAnsi"/>
                <w:color w:val="000000"/>
              </w:rPr>
            </w:pPr>
            <w:r w:rsidRPr="00744907">
              <w:rPr>
                <w:rFonts w:asciiTheme="minorHAnsi" w:hAnsiTheme="minorHAnsi" w:cstheme="minorHAnsi"/>
                <w:color w:val="000000"/>
              </w:rPr>
              <w:t>Cession Ratio</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80%</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81%</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73%</w:t>
            </w:r>
          </w:p>
        </w:tc>
        <w:tc>
          <w:tcPr>
            <w:tcW w:w="1240" w:type="dxa"/>
            <w:noWrap/>
            <w:vAlign w:val="bottom"/>
            <w:hideMark/>
          </w:tcPr>
          <w:p w:rsidR="00E03B08" w:rsidRPr="00744907" w:rsidRDefault="00E03B08" w:rsidP="005A3AC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744907">
              <w:rPr>
                <w:rFonts w:asciiTheme="minorHAnsi" w:hAnsiTheme="minorHAnsi" w:cstheme="minorHAnsi"/>
                <w:color w:val="000000"/>
              </w:rPr>
              <w:t>76%</w:t>
            </w:r>
          </w:p>
        </w:tc>
      </w:tr>
    </w:tbl>
    <w:p w:rsidR="00E03B08" w:rsidRDefault="00E03B08" w:rsidP="00E03B08">
      <w:pPr>
        <w:spacing w:line="360" w:lineRule="auto"/>
        <w:rPr>
          <w:rFonts w:asciiTheme="majorBidi" w:eastAsiaTheme="majorEastAsia" w:hAnsiTheme="majorBidi" w:cstheme="majorBidi"/>
          <w:b/>
        </w:rPr>
      </w:pPr>
    </w:p>
    <w:p w:rsidR="00E03B08" w:rsidRDefault="00E03B08" w:rsidP="00FE30D6">
      <w:pPr>
        <w:pStyle w:val="NoSpacing"/>
        <w:jc w:val="both"/>
        <w:rPr>
          <w:rFonts w:cstheme="minorHAnsi"/>
        </w:rPr>
      </w:pPr>
    </w:p>
    <w:p w:rsidR="00E03B08" w:rsidRDefault="00E03B08" w:rsidP="00FE30D6">
      <w:pPr>
        <w:pStyle w:val="NoSpacing"/>
        <w:jc w:val="both"/>
        <w:rPr>
          <w:rFonts w:cstheme="minorHAnsi"/>
        </w:rPr>
      </w:pPr>
    </w:p>
    <w:p w:rsidR="00E03B08" w:rsidRDefault="00E03B08" w:rsidP="00FE30D6">
      <w:pPr>
        <w:pStyle w:val="NoSpacing"/>
        <w:jc w:val="both"/>
        <w:rPr>
          <w:rFonts w:cstheme="minorHAnsi"/>
        </w:rPr>
      </w:pPr>
    </w:p>
    <w:p w:rsidR="0069257A" w:rsidRPr="00FE30D6" w:rsidRDefault="0069257A" w:rsidP="00FE30D6">
      <w:pPr>
        <w:pStyle w:val="NoSpacing"/>
        <w:jc w:val="both"/>
      </w:pPr>
    </w:p>
    <w:p w:rsidR="000B76AB" w:rsidRDefault="000B76AB"/>
    <w:p w:rsidR="0069257A" w:rsidRDefault="0069257A" w:rsidP="0069257A">
      <w:pPr>
        <w:pStyle w:val="NoSpacing"/>
      </w:pPr>
    </w:p>
    <w:p w:rsidR="0069257A" w:rsidRDefault="0069257A" w:rsidP="0069257A">
      <w:pPr>
        <w:pStyle w:val="NoSpacing"/>
      </w:pPr>
    </w:p>
    <w:p w:rsidR="00E27AA8" w:rsidRDefault="00E27AA8">
      <w:pPr>
        <w:spacing w:after="160" w:line="259" w:lineRule="auto"/>
        <w:rPr>
          <w:rFonts w:asciiTheme="majorHAnsi" w:eastAsiaTheme="majorEastAsia" w:hAnsiTheme="majorHAnsi" w:cstheme="majorBidi"/>
          <w:color w:val="365F91" w:themeColor="accent1" w:themeShade="BF"/>
          <w:sz w:val="32"/>
          <w:szCs w:val="32"/>
        </w:rPr>
      </w:pPr>
      <w:r>
        <w:br w:type="page"/>
      </w:r>
    </w:p>
    <w:p w:rsidR="00F67A18" w:rsidRPr="007A33FF" w:rsidRDefault="003D0442" w:rsidP="007A33FF">
      <w:pPr>
        <w:pStyle w:val="Heading1"/>
        <w:spacing w:line="259" w:lineRule="auto"/>
      </w:pPr>
      <w:bookmarkStart w:id="11" w:name="_Toc43808704"/>
      <w:r>
        <w:rPr>
          <w:noProof/>
          <w:lang w:val="en-US" w:eastAsia="en-US"/>
        </w:rPr>
        <w:lastRenderedPageBreak/>
        <w:drawing>
          <wp:anchor distT="0" distB="0" distL="114300" distR="114300" simplePos="0" relativeHeight="251666944" behindDoc="0" locked="0" layoutInCell="1" allowOverlap="1" wp14:anchorId="6F024400" wp14:editId="7EA7495B">
            <wp:simplePos x="0" y="0"/>
            <wp:positionH relativeFrom="margin">
              <wp:align>right</wp:align>
            </wp:positionH>
            <wp:positionV relativeFrom="paragraph">
              <wp:posOffset>-161925</wp:posOffset>
            </wp:positionV>
            <wp:extent cx="1133475" cy="11811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C.png"/>
                    <pic:cNvPicPr/>
                  </pic:nvPicPr>
                  <pic:blipFill>
                    <a:blip r:embed="rId17">
                      <a:extLst>
                        <a:ext uri="{28A0092B-C50C-407E-A947-70E740481C1C}">
                          <a14:useLocalDpi xmlns:a14="http://schemas.microsoft.com/office/drawing/2010/main" val="0"/>
                        </a:ext>
                      </a:extLst>
                    </a:blip>
                    <a:stretch>
                      <a:fillRect/>
                    </a:stretch>
                  </pic:blipFill>
                  <pic:spPr>
                    <a:xfrm>
                      <a:off x="0" y="0"/>
                      <a:ext cx="1133475" cy="1181100"/>
                    </a:xfrm>
                    <a:prstGeom prst="rect">
                      <a:avLst/>
                    </a:prstGeom>
                  </pic:spPr>
                </pic:pic>
              </a:graphicData>
            </a:graphic>
            <wp14:sizeRelH relativeFrom="margin">
              <wp14:pctWidth>0</wp14:pctWidth>
            </wp14:sizeRelH>
            <wp14:sizeRelV relativeFrom="margin">
              <wp14:pctHeight>0</wp14:pctHeight>
            </wp14:sizeRelV>
          </wp:anchor>
        </w:drawing>
      </w:r>
      <w:r w:rsidR="00744907">
        <w:t>Section 3</w:t>
      </w:r>
      <w:r w:rsidR="00332061">
        <w:t xml:space="preserve">: </w:t>
      </w:r>
      <w:r w:rsidR="004E08A0" w:rsidRPr="007A33FF">
        <w:t>I</w:t>
      </w:r>
      <w:r w:rsidR="00332061">
        <w:t>nsurance Companies in Afghanistan</w:t>
      </w:r>
      <w:bookmarkEnd w:id="11"/>
    </w:p>
    <w:p w:rsidR="004E08A0" w:rsidRPr="003357A5" w:rsidRDefault="004E08A0" w:rsidP="007A33FF">
      <w:pPr>
        <w:pStyle w:val="NoSpacing"/>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0"/>
        <w:gridCol w:w="2190"/>
      </w:tblGrid>
      <w:tr w:rsidR="00E27AA8" w:rsidTr="002A60B7">
        <w:tc>
          <w:tcPr>
            <w:tcW w:w="7338" w:type="dxa"/>
            <w:vAlign w:val="bottom"/>
          </w:tcPr>
          <w:p w:rsidR="00E27AA8" w:rsidRDefault="00E27AA8" w:rsidP="001F24AA"/>
        </w:tc>
        <w:tc>
          <w:tcPr>
            <w:tcW w:w="2238" w:type="dxa"/>
            <w:vAlign w:val="bottom"/>
          </w:tcPr>
          <w:p w:rsidR="00E27AA8" w:rsidRDefault="00E27AA8" w:rsidP="000B7FE4"/>
        </w:tc>
      </w:tr>
    </w:tbl>
    <w:p w:rsidR="00E27AA8" w:rsidRDefault="001F24AA" w:rsidP="007A33FF">
      <w:pPr>
        <w:pStyle w:val="Heading2"/>
        <w:spacing w:line="259" w:lineRule="auto"/>
      </w:pPr>
      <w:bookmarkStart w:id="12" w:name="_Toc43808705"/>
      <w:r>
        <w:t>3</w:t>
      </w:r>
      <w:r w:rsidRPr="00383974">
        <w:t>.1</w:t>
      </w:r>
      <w:r w:rsidRPr="003357A5">
        <w:tab/>
      </w:r>
      <w:r>
        <w:t>The Afghanistan National Insurance Company (</w:t>
      </w:r>
      <w:r w:rsidRPr="00383974">
        <w:t>ANIC</w:t>
      </w:r>
      <w:r>
        <w:t>)</w:t>
      </w:r>
      <w:bookmarkEnd w:id="12"/>
    </w:p>
    <w:p w:rsidR="001F24AA" w:rsidRDefault="001F24AA" w:rsidP="007A33FF">
      <w:pPr>
        <w:pStyle w:val="NoSpacing"/>
        <w:jc w:val="both"/>
        <w:rPr>
          <w:sz w:val="24"/>
          <w:szCs w:val="24"/>
        </w:rPr>
      </w:pPr>
    </w:p>
    <w:p w:rsidR="004E6C46" w:rsidRDefault="00BC2D3A" w:rsidP="007A33FF">
      <w:pPr>
        <w:pStyle w:val="NoSpacing"/>
        <w:jc w:val="both"/>
        <w:rPr>
          <w:sz w:val="24"/>
          <w:szCs w:val="24"/>
        </w:rPr>
      </w:pPr>
      <w:r w:rsidRPr="003357A5">
        <w:rPr>
          <w:sz w:val="24"/>
          <w:szCs w:val="24"/>
        </w:rPr>
        <w:t xml:space="preserve">Founded in 1964, Afghan National Insurance </w:t>
      </w:r>
      <w:r w:rsidR="00672884">
        <w:rPr>
          <w:sz w:val="24"/>
          <w:szCs w:val="24"/>
        </w:rPr>
        <w:t xml:space="preserve">Company (ANIC) </w:t>
      </w:r>
      <w:r w:rsidRPr="003357A5">
        <w:rPr>
          <w:sz w:val="24"/>
          <w:szCs w:val="24"/>
        </w:rPr>
        <w:t xml:space="preserve">is the </w:t>
      </w:r>
      <w:r w:rsidR="00C23F67" w:rsidRPr="003357A5">
        <w:rPr>
          <w:sz w:val="24"/>
          <w:szCs w:val="24"/>
        </w:rPr>
        <w:t xml:space="preserve">oldest </w:t>
      </w:r>
      <w:r w:rsidRPr="003357A5">
        <w:rPr>
          <w:sz w:val="24"/>
          <w:szCs w:val="24"/>
        </w:rPr>
        <w:t xml:space="preserve">insurance company in the country with </w:t>
      </w:r>
      <w:r w:rsidR="00C23F67" w:rsidRPr="003357A5">
        <w:rPr>
          <w:sz w:val="24"/>
          <w:szCs w:val="24"/>
        </w:rPr>
        <w:t xml:space="preserve">an experience of </w:t>
      </w:r>
      <w:r w:rsidRPr="003357A5">
        <w:rPr>
          <w:sz w:val="24"/>
          <w:szCs w:val="24"/>
        </w:rPr>
        <w:t>more than half a century of insurance services provision.</w:t>
      </w:r>
      <w:r w:rsidR="004E6C46">
        <w:rPr>
          <w:sz w:val="24"/>
          <w:szCs w:val="24"/>
        </w:rPr>
        <w:t xml:space="preserve">  </w:t>
      </w:r>
      <w:r w:rsidRPr="003357A5">
        <w:rPr>
          <w:sz w:val="24"/>
          <w:szCs w:val="24"/>
        </w:rPr>
        <w:t xml:space="preserve">ANIC is a </w:t>
      </w:r>
      <w:r w:rsidR="00C23F67" w:rsidRPr="003357A5">
        <w:rPr>
          <w:sz w:val="24"/>
          <w:szCs w:val="24"/>
        </w:rPr>
        <w:t xml:space="preserve">state-owned </w:t>
      </w:r>
      <w:r w:rsidRPr="003357A5">
        <w:rPr>
          <w:sz w:val="24"/>
          <w:szCs w:val="24"/>
        </w:rPr>
        <w:t xml:space="preserve">corporation, </w:t>
      </w:r>
      <w:r w:rsidR="00907EA4" w:rsidRPr="003357A5">
        <w:rPr>
          <w:sz w:val="24"/>
          <w:szCs w:val="24"/>
        </w:rPr>
        <w:t xml:space="preserve">which </w:t>
      </w:r>
      <w:r w:rsidRPr="003357A5">
        <w:rPr>
          <w:sz w:val="24"/>
          <w:szCs w:val="24"/>
        </w:rPr>
        <w:t xml:space="preserve">is a </w:t>
      </w:r>
      <w:r w:rsidR="00C23F67" w:rsidRPr="003357A5">
        <w:rPr>
          <w:sz w:val="24"/>
          <w:szCs w:val="24"/>
        </w:rPr>
        <w:t xml:space="preserve">prominent </w:t>
      </w:r>
      <w:r w:rsidRPr="003357A5">
        <w:rPr>
          <w:sz w:val="24"/>
          <w:szCs w:val="24"/>
        </w:rPr>
        <w:t xml:space="preserve">revenue-generating </w:t>
      </w:r>
      <w:r w:rsidR="00C23F67" w:rsidRPr="003357A5">
        <w:rPr>
          <w:sz w:val="24"/>
          <w:szCs w:val="24"/>
        </w:rPr>
        <w:t xml:space="preserve">business organization </w:t>
      </w:r>
      <w:r w:rsidRPr="003357A5">
        <w:rPr>
          <w:sz w:val="24"/>
          <w:szCs w:val="24"/>
        </w:rPr>
        <w:t xml:space="preserve">for </w:t>
      </w:r>
      <w:r w:rsidR="00C23F67" w:rsidRPr="003357A5">
        <w:rPr>
          <w:sz w:val="24"/>
          <w:szCs w:val="24"/>
        </w:rPr>
        <w:t xml:space="preserve">the </w:t>
      </w:r>
      <w:r w:rsidRPr="003357A5">
        <w:rPr>
          <w:sz w:val="24"/>
          <w:szCs w:val="24"/>
        </w:rPr>
        <w:t xml:space="preserve">Afghan </w:t>
      </w:r>
      <w:r w:rsidR="00C23F67" w:rsidRPr="003357A5">
        <w:rPr>
          <w:sz w:val="24"/>
          <w:szCs w:val="24"/>
        </w:rPr>
        <w:t>g</w:t>
      </w:r>
      <w:r w:rsidRPr="003357A5">
        <w:rPr>
          <w:sz w:val="24"/>
          <w:szCs w:val="24"/>
        </w:rPr>
        <w:t xml:space="preserve">overnment, </w:t>
      </w:r>
      <w:r w:rsidR="00C23F67" w:rsidRPr="003357A5">
        <w:rPr>
          <w:sz w:val="24"/>
          <w:szCs w:val="24"/>
        </w:rPr>
        <w:t xml:space="preserve">and </w:t>
      </w:r>
      <w:r w:rsidRPr="003357A5">
        <w:rPr>
          <w:sz w:val="24"/>
          <w:szCs w:val="24"/>
        </w:rPr>
        <w:t>benefit</w:t>
      </w:r>
      <w:r w:rsidR="00C23F67" w:rsidRPr="003357A5">
        <w:rPr>
          <w:sz w:val="24"/>
          <w:szCs w:val="24"/>
        </w:rPr>
        <w:t xml:space="preserve">s </w:t>
      </w:r>
      <w:r w:rsidRPr="003357A5">
        <w:rPr>
          <w:sz w:val="24"/>
          <w:szCs w:val="24"/>
        </w:rPr>
        <w:t xml:space="preserve">the country </w:t>
      </w:r>
      <w:r w:rsidR="00C23F67" w:rsidRPr="003357A5">
        <w:rPr>
          <w:sz w:val="24"/>
          <w:szCs w:val="24"/>
        </w:rPr>
        <w:t xml:space="preserve">by </w:t>
      </w:r>
      <w:r w:rsidRPr="003357A5">
        <w:rPr>
          <w:sz w:val="24"/>
          <w:szCs w:val="24"/>
        </w:rPr>
        <w:t>providing insurance services to public</w:t>
      </w:r>
      <w:r w:rsidR="00C23F67" w:rsidRPr="003357A5">
        <w:rPr>
          <w:sz w:val="24"/>
          <w:szCs w:val="24"/>
        </w:rPr>
        <w:t xml:space="preserve">, as well as </w:t>
      </w:r>
      <w:r w:rsidRPr="003357A5">
        <w:rPr>
          <w:sz w:val="24"/>
          <w:szCs w:val="24"/>
        </w:rPr>
        <w:t xml:space="preserve">offering </w:t>
      </w:r>
      <w:r w:rsidR="00672884">
        <w:rPr>
          <w:sz w:val="24"/>
          <w:szCs w:val="24"/>
        </w:rPr>
        <w:t xml:space="preserve">the </w:t>
      </w:r>
      <w:r w:rsidR="00C23F67" w:rsidRPr="003357A5">
        <w:rPr>
          <w:sz w:val="24"/>
          <w:szCs w:val="24"/>
        </w:rPr>
        <w:t xml:space="preserve">business </w:t>
      </w:r>
      <w:r w:rsidRPr="003357A5">
        <w:rPr>
          <w:sz w:val="24"/>
          <w:szCs w:val="24"/>
        </w:rPr>
        <w:t>profit</w:t>
      </w:r>
      <w:r w:rsidR="00C23F67" w:rsidRPr="003357A5">
        <w:rPr>
          <w:sz w:val="24"/>
          <w:szCs w:val="24"/>
        </w:rPr>
        <w:t>ability</w:t>
      </w:r>
      <w:r w:rsidRPr="003357A5">
        <w:rPr>
          <w:sz w:val="24"/>
          <w:szCs w:val="24"/>
        </w:rPr>
        <w:t xml:space="preserve"> to the </w:t>
      </w:r>
      <w:r w:rsidR="00C23F67" w:rsidRPr="003357A5">
        <w:rPr>
          <w:sz w:val="24"/>
          <w:szCs w:val="24"/>
        </w:rPr>
        <w:t>state</w:t>
      </w:r>
      <w:r w:rsidR="004E6C46">
        <w:rPr>
          <w:sz w:val="24"/>
          <w:szCs w:val="24"/>
        </w:rPr>
        <w:t>.</w:t>
      </w:r>
    </w:p>
    <w:p w:rsidR="004E6C46" w:rsidRDefault="004E6C46" w:rsidP="007A33FF">
      <w:pPr>
        <w:pStyle w:val="NoSpacing"/>
        <w:jc w:val="both"/>
        <w:rPr>
          <w:sz w:val="24"/>
          <w:szCs w:val="24"/>
        </w:rPr>
      </w:pPr>
    </w:p>
    <w:p w:rsidR="00FC373C" w:rsidRPr="007A33FF" w:rsidRDefault="00672884" w:rsidP="007A33FF">
      <w:pPr>
        <w:pStyle w:val="NoSpacing"/>
        <w:jc w:val="both"/>
      </w:pPr>
      <w:r>
        <w:rPr>
          <w:sz w:val="24"/>
          <w:szCs w:val="24"/>
        </w:rPr>
        <w:t>Some of the i</w:t>
      </w:r>
      <w:r w:rsidR="00FA00EB" w:rsidRPr="007A33FF">
        <w:rPr>
          <w:sz w:val="24"/>
          <w:szCs w:val="24"/>
        </w:rPr>
        <w:t xml:space="preserve">nsurance </w:t>
      </w:r>
      <w:r>
        <w:rPr>
          <w:sz w:val="24"/>
          <w:szCs w:val="24"/>
        </w:rPr>
        <w:t>p</w:t>
      </w:r>
      <w:r w:rsidR="00FA00EB" w:rsidRPr="007A33FF">
        <w:rPr>
          <w:sz w:val="24"/>
          <w:szCs w:val="24"/>
        </w:rPr>
        <w:t xml:space="preserve">roducts </w:t>
      </w:r>
      <w:r>
        <w:rPr>
          <w:sz w:val="24"/>
          <w:szCs w:val="24"/>
        </w:rPr>
        <w:t>o</w:t>
      </w:r>
      <w:r w:rsidR="00FA00EB" w:rsidRPr="007A33FF">
        <w:rPr>
          <w:sz w:val="24"/>
          <w:szCs w:val="24"/>
        </w:rPr>
        <w:t>ffered</w:t>
      </w:r>
      <w:r w:rsidR="00907EA4" w:rsidRPr="007A33FF">
        <w:rPr>
          <w:sz w:val="24"/>
          <w:szCs w:val="24"/>
        </w:rPr>
        <w:t xml:space="preserve"> by ANIC include</w:t>
      </w:r>
      <w:r w:rsidR="00FA00EB" w:rsidRPr="007A33FF">
        <w:rPr>
          <w:sz w:val="24"/>
          <w:szCs w:val="24"/>
        </w:rPr>
        <w:t>:</w:t>
      </w:r>
    </w:p>
    <w:p w:rsidR="000260F2" w:rsidRDefault="000260F2" w:rsidP="007A33FF">
      <w:pPr>
        <w:pStyle w:val="NoSpacing"/>
        <w:jc w:val="both"/>
      </w:pPr>
    </w:p>
    <w:p w:rsidR="00672884" w:rsidRPr="003357A5" w:rsidRDefault="00FC373C" w:rsidP="00E027F3">
      <w:pPr>
        <w:pStyle w:val="NoSpacing"/>
        <w:numPr>
          <w:ilvl w:val="0"/>
          <w:numId w:val="1"/>
        </w:numPr>
        <w:jc w:val="both"/>
      </w:pPr>
      <w:r w:rsidRPr="003357A5">
        <w:rPr>
          <w:sz w:val="24"/>
          <w:szCs w:val="24"/>
        </w:rPr>
        <w:t>Health Insurance</w:t>
      </w:r>
    </w:p>
    <w:p w:rsidR="00672884" w:rsidRPr="00672884" w:rsidRDefault="00FC373C" w:rsidP="00E027F3">
      <w:pPr>
        <w:pStyle w:val="NoSpacing"/>
        <w:numPr>
          <w:ilvl w:val="0"/>
          <w:numId w:val="1"/>
        </w:numPr>
        <w:jc w:val="both"/>
      </w:pPr>
      <w:r w:rsidRPr="00672884">
        <w:rPr>
          <w:sz w:val="24"/>
          <w:szCs w:val="24"/>
        </w:rPr>
        <w:t>Comprehensive Vehicle Insurance</w:t>
      </w:r>
    </w:p>
    <w:p w:rsidR="00672884" w:rsidRPr="00672884" w:rsidRDefault="004E6C46" w:rsidP="00E027F3">
      <w:pPr>
        <w:pStyle w:val="NoSpacing"/>
        <w:numPr>
          <w:ilvl w:val="0"/>
          <w:numId w:val="1"/>
        </w:numPr>
        <w:jc w:val="both"/>
      </w:pPr>
      <w:r>
        <w:rPr>
          <w:sz w:val="24"/>
          <w:szCs w:val="24"/>
        </w:rPr>
        <w:t>Third-p</w:t>
      </w:r>
      <w:r w:rsidR="00FC373C" w:rsidRPr="00672884">
        <w:rPr>
          <w:sz w:val="24"/>
          <w:szCs w:val="24"/>
        </w:rPr>
        <w:t>arty Vehicle Insurance</w:t>
      </w:r>
    </w:p>
    <w:p w:rsidR="00672884" w:rsidRPr="00672884" w:rsidRDefault="00FC373C" w:rsidP="00E027F3">
      <w:pPr>
        <w:pStyle w:val="NoSpacing"/>
        <w:numPr>
          <w:ilvl w:val="0"/>
          <w:numId w:val="1"/>
        </w:numPr>
        <w:jc w:val="both"/>
      </w:pPr>
      <w:r w:rsidRPr="00672884">
        <w:rPr>
          <w:sz w:val="24"/>
          <w:szCs w:val="24"/>
        </w:rPr>
        <w:t>Travel Insurance</w:t>
      </w:r>
    </w:p>
    <w:p w:rsidR="00672884" w:rsidRPr="00672884" w:rsidRDefault="00FC373C" w:rsidP="00E027F3">
      <w:pPr>
        <w:pStyle w:val="NoSpacing"/>
        <w:numPr>
          <w:ilvl w:val="0"/>
          <w:numId w:val="1"/>
        </w:numPr>
        <w:jc w:val="both"/>
      </w:pPr>
      <w:r w:rsidRPr="00672884">
        <w:rPr>
          <w:sz w:val="24"/>
          <w:szCs w:val="24"/>
        </w:rPr>
        <w:t>Fire Insurance</w:t>
      </w:r>
    </w:p>
    <w:p w:rsidR="00672884" w:rsidRPr="00672884" w:rsidRDefault="00FC373C" w:rsidP="00E027F3">
      <w:pPr>
        <w:pStyle w:val="NoSpacing"/>
        <w:numPr>
          <w:ilvl w:val="0"/>
          <w:numId w:val="1"/>
        </w:numPr>
        <w:jc w:val="both"/>
      </w:pPr>
      <w:r w:rsidRPr="00672884">
        <w:rPr>
          <w:sz w:val="24"/>
          <w:szCs w:val="24"/>
        </w:rPr>
        <w:t>Aviation Insurance</w:t>
      </w:r>
    </w:p>
    <w:p w:rsidR="00672884" w:rsidRPr="00672884" w:rsidRDefault="00FC373C" w:rsidP="00E027F3">
      <w:pPr>
        <w:pStyle w:val="NoSpacing"/>
        <w:numPr>
          <w:ilvl w:val="0"/>
          <w:numId w:val="1"/>
        </w:numPr>
        <w:jc w:val="both"/>
      </w:pPr>
      <w:r w:rsidRPr="00672884">
        <w:rPr>
          <w:sz w:val="24"/>
          <w:szCs w:val="24"/>
        </w:rPr>
        <w:t>Cargo Insurance</w:t>
      </w:r>
    </w:p>
    <w:p w:rsidR="00672884" w:rsidRPr="00672884" w:rsidRDefault="00FC373C" w:rsidP="00E027F3">
      <w:pPr>
        <w:pStyle w:val="NoSpacing"/>
        <w:numPr>
          <w:ilvl w:val="0"/>
          <w:numId w:val="1"/>
        </w:numPr>
        <w:jc w:val="both"/>
      </w:pPr>
      <w:r w:rsidRPr="00672884">
        <w:rPr>
          <w:sz w:val="24"/>
          <w:szCs w:val="24"/>
        </w:rPr>
        <w:t>Personal Accidents’ Insurance</w:t>
      </w:r>
    </w:p>
    <w:p w:rsidR="00672884" w:rsidRPr="00672884" w:rsidRDefault="00FC373C" w:rsidP="00E027F3">
      <w:pPr>
        <w:pStyle w:val="NoSpacing"/>
        <w:numPr>
          <w:ilvl w:val="0"/>
          <w:numId w:val="1"/>
        </w:numPr>
        <w:jc w:val="both"/>
      </w:pPr>
      <w:r w:rsidRPr="00672884">
        <w:rPr>
          <w:sz w:val="24"/>
          <w:szCs w:val="24"/>
        </w:rPr>
        <w:t>Students Insurance</w:t>
      </w:r>
    </w:p>
    <w:p w:rsidR="00FC373C" w:rsidRPr="00672884" w:rsidRDefault="00FC373C" w:rsidP="00E027F3">
      <w:pPr>
        <w:pStyle w:val="NoSpacing"/>
        <w:numPr>
          <w:ilvl w:val="0"/>
          <w:numId w:val="1"/>
        </w:numPr>
        <w:jc w:val="both"/>
      </w:pPr>
      <w:r w:rsidRPr="00672884">
        <w:rPr>
          <w:sz w:val="24"/>
          <w:szCs w:val="24"/>
        </w:rPr>
        <w:t>Employees Accidents’ Insurance</w:t>
      </w:r>
    </w:p>
    <w:p w:rsidR="000260F2" w:rsidRDefault="000260F2" w:rsidP="007A33FF">
      <w:pPr>
        <w:pStyle w:val="NoSpacing"/>
        <w:jc w:val="both"/>
        <w:rPr>
          <w:b/>
        </w:rPr>
      </w:pPr>
    </w:p>
    <w:p w:rsidR="00F67A18" w:rsidRPr="003357A5" w:rsidRDefault="00672884" w:rsidP="007A33FF">
      <w:pPr>
        <w:pStyle w:val="NoSpacing"/>
        <w:jc w:val="both"/>
      </w:pPr>
      <w:r w:rsidRPr="007A33FF">
        <w:rPr>
          <w:sz w:val="24"/>
          <w:szCs w:val="24"/>
        </w:rPr>
        <w:t xml:space="preserve">It is </w:t>
      </w:r>
      <w:r>
        <w:rPr>
          <w:sz w:val="24"/>
          <w:szCs w:val="24"/>
        </w:rPr>
        <w:t xml:space="preserve">reported that ANIC has offices in various provinces, including </w:t>
      </w:r>
      <w:r w:rsidR="007D3780" w:rsidRPr="003357A5">
        <w:rPr>
          <w:sz w:val="24"/>
          <w:szCs w:val="24"/>
        </w:rPr>
        <w:t xml:space="preserve">not just the </w:t>
      </w:r>
      <w:r w:rsidR="00FC373C" w:rsidRPr="003357A5">
        <w:rPr>
          <w:sz w:val="24"/>
          <w:szCs w:val="24"/>
        </w:rPr>
        <w:t xml:space="preserve">Kabul, </w:t>
      </w:r>
      <w:r w:rsidR="007D3780" w:rsidRPr="003357A5">
        <w:rPr>
          <w:sz w:val="24"/>
          <w:szCs w:val="24"/>
        </w:rPr>
        <w:t xml:space="preserve">but also in </w:t>
      </w:r>
      <w:r w:rsidR="00FC373C" w:rsidRPr="003357A5">
        <w:rPr>
          <w:sz w:val="24"/>
          <w:szCs w:val="24"/>
        </w:rPr>
        <w:t>Balkh, Herat, Kandahar, Nangarhar, Baghlan, Khost, Samangan, Pansher, Kapisa, Parwan, Laghman, Loger, Sar-e-pul, Faryab, Jowz</w:t>
      </w:r>
      <w:r w:rsidR="00BC2D3A" w:rsidRPr="003357A5">
        <w:rPr>
          <w:sz w:val="24"/>
          <w:szCs w:val="24"/>
        </w:rPr>
        <w:t>Jan,</w:t>
      </w:r>
      <w:r w:rsidR="00FC373C" w:rsidRPr="003357A5">
        <w:rPr>
          <w:sz w:val="24"/>
          <w:szCs w:val="24"/>
        </w:rPr>
        <w:t xml:space="preserve"> Kunduz, Faryab, Paktya and Badghis.</w:t>
      </w:r>
    </w:p>
    <w:p w:rsidR="004E08A0" w:rsidRDefault="004E08A0" w:rsidP="007A33FF">
      <w:pPr>
        <w:pStyle w:val="NoSpacing"/>
        <w:jc w:val="both"/>
      </w:pPr>
    </w:p>
    <w:p w:rsidR="00672884" w:rsidRDefault="00672884" w:rsidP="007A33FF">
      <w:pPr>
        <w:pStyle w:val="NoSpacing"/>
        <w:jc w:val="both"/>
      </w:pPr>
    </w:p>
    <w:p w:rsidR="00672884" w:rsidRDefault="00672884">
      <w:pPr>
        <w:rPr>
          <w:b/>
          <w:bCs/>
          <w:color w:val="4F81BD" w:themeColor="accent1"/>
          <w:sz w:val="18"/>
          <w:szCs w:val="18"/>
        </w:rPr>
      </w:pPr>
      <w:r>
        <w:br w:type="page"/>
      </w:r>
    </w:p>
    <w:p w:rsidR="0057726F" w:rsidRDefault="003D0442" w:rsidP="007A33FF">
      <w:pPr>
        <w:jc w:val="center"/>
        <w:rPr>
          <w:lang w:val="en-US" w:eastAsia="en-US"/>
        </w:rPr>
      </w:pPr>
      <w:r>
        <w:rPr>
          <w:noProof/>
          <w:lang w:val="en-US" w:eastAsia="en-US"/>
        </w:rPr>
        <w:lastRenderedPageBreak/>
        <w:drawing>
          <wp:anchor distT="0" distB="0" distL="114300" distR="114300" simplePos="0" relativeHeight="251665920" behindDoc="0" locked="0" layoutInCell="1" allowOverlap="1" wp14:anchorId="48A20303" wp14:editId="37B224FC">
            <wp:simplePos x="0" y="0"/>
            <wp:positionH relativeFrom="margin">
              <wp:align>right</wp:align>
            </wp:positionH>
            <wp:positionV relativeFrom="paragraph">
              <wp:posOffset>-276225</wp:posOffset>
            </wp:positionV>
            <wp:extent cx="2065020" cy="96393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png"/>
                    <pic:cNvPicPr/>
                  </pic:nvPicPr>
                  <pic:blipFill>
                    <a:blip r:embed="rId18">
                      <a:extLst>
                        <a:ext uri="{28A0092B-C50C-407E-A947-70E740481C1C}">
                          <a14:useLocalDpi xmlns:a14="http://schemas.microsoft.com/office/drawing/2010/main" val="0"/>
                        </a:ext>
                      </a:extLst>
                    </a:blip>
                    <a:stretch>
                      <a:fillRect/>
                    </a:stretch>
                  </pic:blipFill>
                  <pic:spPr>
                    <a:xfrm>
                      <a:off x="0" y="0"/>
                      <a:ext cx="2065020" cy="9639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9"/>
        <w:gridCol w:w="3391"/>
      </w:tblGrid>
      <w:tr w:rsidR="002A60B7" w:rsidTr="00535883">
        <w:tc>
          <w:tcPr>
            <w:tcW w:w="6108" w:type="dxa"/>
            <w:vAlign w:val="bottom"/>
          </w:tcPr>
          <w:p w:rsidR="002A60B7" w:rsidRDefault="002A60B7" w:rsidP="001F24AA">
            <w:pPr>
              <w:pStyle w:val="NoSpacing"/>
            </w:pPr>
          </w:p>
        </w:tc>
        <w:tc>
          <w:tcPr>
            <w:tcW w:w="3468" w:type="dxa"/>
            <w:vAlign w:val="bottom"/>
          </w:tcPr>
          <w:p w:rsidR="002A60B7" w:rsidRDefault="002A60B7" w:rsidP="001F24AA">
            <w:pPr>
              <w:pStyle w:val="NoSpacing"/>
            </w:pPr>
          </w:p>
        </w:tc>
      </w:tr>
    </w:tbl>
    <w:p w:rsidR="002A60B7" w:rsidRDefault="001F24AA" w:rsidP="00410D87">
      <w:pPr>
        <w:pStyle w:val="Heading2"/>
      </w:pPr>
      <w:bookmarkStart w:id="13" w:name="_Toc43808706"/>
      <w:r>
        <w:t>3</w:t>
      </w:r>
      <w:r w:rsidRPr="00383974">
        <w:t>.2</w:t>
      </w:r>
      <w:r w:rsidRPr="00383974">
        <w:rPr>
          <w:sz w:val="28"/>
          <w:szCs w:val="28"/>
        </w:rPr>
        <w:t xml:space="preserve"> </w:t>
      </w:r>
      <w:r w:rsidRPr="00383974">
        <w:rPr>
          <w:sz w:val="28"/>
          <w:szCs w:val="28"/>
        </w:rPr>
        <w:tab/>
      </w:r>
      <w:r>
        <w:t>The Insurance Corporation of Afghanistan (ICA)</w:t>
      </w:r>
      <w:bookmarkEnd w:id="13"/>
    </w:p>
    <w:p w:rsidR="001F24AA" w:rsidRDefault="001F24AA" w:rsidP="007A33FF">
      <w:pPr>
        <w:pStyle w:val="NoSpacing"/>
        <w:jc w:val="both"/>
        <w:rPr>
          <w:rFonts w:cstheme="majorBidi"/>
          <w:sz w:val="24"/>
          <w:szCs w:val="24"/>
        </w:rPr>
      </w:pPr>
    </w:p>
    <w:p w:rsidR="004F06ED" w:rsidRPr="003357A5" w:rsidRDefault="00410D87" w:rsidP="007A33FF">
      <w:pPr>
        <w:pStyle w:val="NoSpacing"/>
        <w:jc w:val="both"/>
        <w:rPr>
          <w:rFonts w:cstheme="majorBidi"/>
        </w:rPr>
      </w:pPr>
      <w:r>
        <w:rPr>
          <w:rFonts w:cstheme="majorBidi"/>
          <w:sz w:val="24"/>
          <w:szCs w:val="24"/>
        </w:rPr>
        <w:t xml:space="preserve">The </w:t>
      </w:r>
      <w:r w:rsidR="00FC373C" w:rsidRPr="003357A5">
        <w:rPr>
          <w:rFonts w:cstheme="majorBidi"/>
          <w:sz w:val="24"/>
          <w:szCs w:val="24"/>
        </w:rPr>
        <w:t xml:space="preserve">Insurance Corporation of Afghanistan (ICA) was established in 2007 in response to the demand for an officially licensed and </w:t>
      </w:r>
      <w:r w:rsidR="004F06ED" w:rsidRPr="003357A5">
        <w:rPr>
          <w:rFonts w:cstheme="majorBidi"/>
          <w:sz w:val="24"/>
          <w:szCs w:val="24"/>
        </w:rPr>
        <w:t xml:space="preserve">adequately </w:t>
      </w:r>
      <w:r w:rsidR="00FC373C" w:rsidRPr="003357A5">
        <w:rPr>
          <w:rFonts w:cstheme="majorBidi"/>
          <w:sz w:val="24"/>
          <w:szCs w:val="24"/>
        </w:rPr>
        <w:t>capitalized private multi-line insurance company, meeting the insurance needs of c</w:t>
      </w:r>
      <w:r>
        <w:rPr>
          <w:rFonts w:cstheme="majorBidi"/>
          <w:sz w:val="24"/>
          <w:szCs w:val="24"/>
        </w:rPr>
        <w:t xml:space="preserve">ustomers in the </w:t>
      </w:r>
      <w:r w:rsidR="00FC373C" w:rsidRPr="003357A5">
        <w:rPr>
          <w:rFonts w:cstheme="majorBidi"/>
          <w:sz w:val="24"/>
          <w:szCs w:val="24"/>
        </w:rPr>
        <w:t>country.</w:t>
      </w:r>
    </w:p>
    <w:p w:rsidR="00762F2F" w:rsidRDefault="00762F2F" w:rsidP="007A33FF">
      <w:pPr>
        <w:pStyle w:val="NoSpacing"/>
        <w:jc w:val="both"/>
        <w:rPr>
          <w:rFonts w:cstheme="majorBidi"/>
        </w:rPr>
      </w:pPr>
    </w:p>
    <w:p w:rsidR="00FC373C" w:rsidRPr="003357A5" w:rsidRDefault="00FC373C" w:rsidP="007A33FF">
      <w:pPr>
        <w:pStyle w:val="NoSpacing"/>
        <w:jc w:val="both"/>
        <w:rPr>
          <w:rFonts w:cstheme="majorBidi"/>
        </w:rPr>
      </w:pPr>
      <w:r w:rsidRPr="003357A5">
        <w:rPr>
          <w:rFonts w:cstheme="majorBidi"/>
          <w:sz w:val="24"/>
          <w:szCs w:val="24"/>
        </w:rPr>
        <w:t xml:space="preserve">ICA offers a comprehensive range of commercial insurance solutions, providing business risk protection for multi-national and Afghan companies in key </w:t>
      </w:r>
      <w:r w:rsidR="00410D87">
        <w:rPr>
          <w:rFonts w:cstheme="majorBidi"/>
          <w:sz w:val="24"/>
          <w:szCs w:val="24"/>
        </w:rPr>
        <w:t xml:space="preserve">economic </w:t>
      </w:r>
      <w:r w:rsidRPr="003357A5">
        <w:rPr>
          <w:rFonts w:cstheme="majorBidi"/>
          <w:sz w:val="24"/>
          <w:szCs w:val="24"/>
        </w:rPr>
        <w:t xml:space="preserve">sectors. ICA has </w:t>
      </w:r>
      <w:r w:rsidR="00410D87">
        <w:rPr>
          <w:rFonts w:cstheme="majorBidi"/>
          <w:sz w:val="24"/>
          <w:szCs w:val="24"/>
        </w:rPr>
        <w:t xml:space="preserve">reported to have </w:t>
      </w:r>
      <w:r w:rsidRPr="003357A5">
        <w:rPr>
          <w:rFonts w:cstheme="majorBidi"/>
          <w:sz w:val="24"/>
          <w:szCs w:val="24"/>
        </w:rPr>
        <w:t xml:space="preserve">reinsurance </w:t>
      </w:r>
      <w:r w:rsidR="00410D87">
        <w:rPr>
          <w:rFonts w:cstheme="majorBidi"/>
          <w:sz w:val="24"/>
          <w:szCs w:val="24"/>
        </w:rPr>
        <w:t>support from i</w:t>
      </w:r>
      <w:r w:rsidRPr="003357A5">
        <w:rPr>
          <w:rFonts w:cstheme="majorBidi"/>
          <w:sz w:val="24"/>
          <w:szCs w:val="24"/>
        </w:rPr>
        <w:t xml:space="preserve">nternational reinsurance </w:t>
      </w:r>
      <w:r w:rsidR="00410D87">
        <w:rPr>
          <w:rFonts w:cstheme="majorBidi"/>
          <w:sz w:val="24"/>
          <w:szCs w:val="24"/>
        </w:rPr>
        <w:t>companies</w:t>
      </w:r>
      <w:r w:rsidR="0015253D">
        <w:rPr>
          <w:rFonts w:cstheme="majorBidi"/>
          <w:sz w:val="24"/>
          <w:szCs w:val="24"/>
        </w:rPr>
        <w:t>.  The insurance p</w:t>
      </w:r>
      <w:r w:rsidR="00886DB3">
        <w:rPr>
          <w:rFonts w:cstheme="majorBidi"/>
          <w:sz w:val="24"/>
          <w:szCs w:val="24"/>
        </w:rPr>
        <w:t>roducts offered</w:t>
      </w:r>
      <w:r w:rsidR="0015253D">
        <w:rPr>
          <w:rFonts w:cstheme="majorBidi"/>
          <w:sz w:val="24"/>
          <w:szCs w:val="24"/>
        </w:rPr>
        <w:t xml:space="preserve"> by ICA include</w:t>
      </w:r>
      <w:r w:rsidRPr="003357A5">
        <w:rPr>
          <w:rFonts w:cstheme="majorBidi"/>
          <w:sz w:val="24"/>
          <w:szCs w:val="24"/>
        </w:rPr>
        <w:t>:</w:t>
      </w:r>
    </w:p>
    <w:p w:rsidR="00762F2F" w:rsidRDefault="00762F2F" w:rsidP="007A33FF">
      <w:pPr>
        <w:pStyle w:val="NoSpacing"/>
        <w:jc w:val="both"/>
        <w:rPr>
          <w:rFonts w:cstheme="majorBidi"/>
        </w:rPr>
      </w:pPr>
    </w:p>
    <w:p w:rsidR="0015253D" w:rsidRDefault="00FC373C" w:rsidP="00E027F3">
      <w:pPr>
        <w:pStyle w:val="NoSpacing"/>
        <w:numPr>
          <w:ilvl w:val="0"/>
          <w:numId w:val="5"/>
        </w:numPr>
        <w:jc w:val="both"/>
        <w:rPr>
          <w:rFonts w:cstheme="majorBidi"/>
        </w:rPr>
      </w:pPr>
      <w:r w:rsidRPr="003357A5">
        <w:rPr>
          <w:rFonts w:cstheme="majorBidi"/>
          <w:sz w:val="24"/>
          <w:szCs w:val="24"/>
        </w:rPr>
        <w:t>Aviation insurance</w:t>
      </w:r>
    </w:p>
    <w:p w:rsidR="0015253D" w:rsidRDefault="00FC373C" w:rsidP="00E027F3">
      <w:pPr>
        <w:pStyle w:val="NoSpacing"/>
        <w:numPr>
          <w:ilvl w:val="0"/>
          <w:numId w:val="5"/>
        </w:numPr>
        <w:jc w:val="both"/>
        <w:rPr>
          <w:rFonts w:cstheme="majorBidi"/>
        </w:rPr>
      </w:pPr>
      <w:r w:rsidRPr="0015253D">
        <w:rPr>
          <w:rFonts w:cstheme="majorBidi"/>
          <w:sz w:val="24"/>
          <w:szCs w:val="24"/>
        </w:rPr>
        <w:t>Cargo insurance</w:t>
      </w:r>
    </w:p>
    <w:p w:rsidR="0015253D" w:rsidRDefault="00FC373C" w:rsidP="00E027F3">
      <w:pPr>
        <w:pStyle w:val="NoSpacing"/>
        <w:numPr>
          <w:ilvl w:val="0"/>
          <w:numId w:val="5"/>
        </w:numPr>
        <w:jc w:val="both"/>
        <w:rPr>
          <w:rFonts w:cstheme="majorBidi"/>
        </w:rPr>
      </w:pPr>
      <w:r w:rsidRPr="0015253D">
        <w:rPr>
          <w:rFonts w:cstheme="majorBidi"/>
          <w:sz w:val="24"/>
          <w:szCs w:val="24"/>
        </w:rPr>
        <w:t>Construction insurance</w:t>
      </w:r>
    </w:p>
    <w:p w:rsidR="0015253D" w:rsidRDefault="00FC373C" w:rsidP="00E027F3">
      <w:pPr>
        <w:pStyle w:val="NoSpacing"/>
        <w:numPr>
          <w:ilvl w:val="0"/>
          <w:numId w:val="5"/>
        </w:numPr>
        <w:jc w:val="both"/>
        <w:rPr>
          <w:rFonts w:cstheme="majorBidi"/>
        </w:rPr>
      </w:pPr>
      <w:r w:rsidRPr="0015253D">
        <w:rPr>
          <w:rFonts w:cstheme="majorBidi"/>
          <w:sz w:val="24"/>
          <w:szCs w:val="24"/>
        </w:rPr>
        <w:t>Defense Based Act insurance (DBA)</w:t>
      </w:r>
    </w:p>
    <w:p w:rsidR="0015253D" w:rsidRDefault="00FC373C" w:rsidP="00E027F3">
      <w:pPr>
        <w:pStyle w:val="NoSpacing"/>
        <w:numPr>
          <w:ilvl w:val="0"/>
          <w:numId w:val="5"/>
        </w:numPr>
        <w:jc w:val="both"/>
        <w:rPr>
          <w:rFonts w:cstheme="majorBidi"/>
        </w:rPr>
      </w:pPr>
      <w:r w:rsidRPr="0015253D">
        <w:rPr>
          <w:rFonts w:cstheme="majorBidi"/>
          <w:sz w:val="24"/>
          <w:szCs w:val="24"/>
        </w:rPr>
        <w:t>Personal Accident insurance (PA)</w:t>
      </w:r>
    </w:p>
    <w:p w:rsidR="0015253D" w:rsidRDefault="00FC373C" w:rsidP="00E027F3">
      <w:pPr>
        <w:pStyle w:val="NoSpacing"/>
        <w:numPr>
          <w:ilvl w:val="0"/>
          <w:numId w:val="5"/>
        </w:numPr>
        <w:jc w:val="both"/>
        <w:rPr>
          <w:rFonts w:cstheme="majorBidi"/>
        </w:rPr>
      </w:pPr>
      <w:r w:rsidRPr="0015253D">
        <w:rPr>
          <w:rFonts w:cstheme="majorBidi"/>
          <w:sz w:val="24"/>
          <w:szCs w:val="24"/>
        </w:rPr>
        <w:t>Professional Indemnity</w:t>
      </w:r>
    </w:p>
    <w:p w:rsidR="0015253D" w:rsidRDefault="00FC373C" w:rsidP="00E027F3">
      <w:pPr>
        <w:pStyle w:val="NoSpacing"/>
        <w:numPr>
          <w:ilvl w:val="0"/>
          <w:numId w:val="5"/>
        </w:numPr>
        <w:jc w:val="both"/>
        <w:rPr>
          <w:rFonts w:cstheme="majorBidi"/>
        </w:rPr>
      </w:pPr>
      <w:r w:rsidRPr="0015253D">
        <w:rPr>
          <w:rFonts w:cstheme="majorBidi"/>
          <w:sz w:val="24"/>
          <w:szCs w:val="24"/>
        </w:rPr>
        <w:t xml:space="preserve">Property Business interruption insurance </w:t>
      </w:r>
    </w:p>
    <w:p w:rsidR="0015253D" w:rsidRDefault="00FC373C" w:rsidP="00E027F3">
      <w:pPr>
        <w:pStyle w:val="NoSpacing"/>
        <w:numPr>
          <w:ilvl w:val="0"/>
          <w:numId w:val="5"/>
        </w:numPr>
        <w:jc w:val="both"/>
        <w:rPr>
          <w:rFonts w:cstheme="majorBidi"/>
        </w:rPr>
      </w:pPr>
      <w:r w:rsidRPr="0015253D">
        <w:rPr>
          <w:rFonts w:cstheme="majorBidi"/>
          <w:sz w:val="24"/>
          <w:szCs w:val="24"/>
        </w:rPr>
        <w:t xml:space="preserve">Political Risk insurance </w:t>
      </w:r>
    </w:p>
    <w:p w:rsidR="0015253D" w:rsidRDefault="00FC373C" w:rsidP="00E027F3">
      <w:pPr>
        <w:pStyle w:val="NoSpacing"/>
        <w:numPr>
          <w:ilvl w:val="0"/>
          <w:numId w:val="5"/>
        </w:numPr>
        <w:jc w:val="both"/>
        <w:rPr>
          <w:rFonts w:cstheme="majorBidi"/>
        </w:rPr>
      </w:pPr>
      <w:r w:rsidRPr="0015253D">
        <w:rPr>
          <w:rFonts w:cstheme="majorBidi"/>
          <w:sz w:val="24"/>
          <w:szCs w:val="24"/>
        </w:rPr>
        <w:t>General third party liability insurance</w:t>
      </w:r>
    </w:p>
    <w:p w:rsidR="0015253D" w:rsidRDefault="00FC373C" w:rsidP="00E027F3">
      <w:pPr>
        <w:pStyle w:val="NoSpacing"/>
        <w:numPr>
          <w:ilvl w:val="0"/>
          <w:numId w:val="5"/>
        </w:numPr>
        <w:jc w:val="both"/>
        <w:rPr>
          <w:rFonts w:cstheme="majorBidi"/>
        </w:rPr>
      </w:pPr>
      <w:r w:rsidRPr="0015253D">
        <w:rPr>
          <w:rFonts w:cstheme="majorBidi"/>
          <w:sz w:val="24"/>
          <w:szCs w:val="24"/>
        </w:rPr>
        <w:t xml:space="preserve">Banker’s blanked </w:t>
      </w:r>
      <w:r w:rsidR="00C201B5" w:rsidRPr="0015253D">
        <w:rPr>
          <w:rFonts w:cstheme="majorBidi"/>
          <w:sz w:val="24"/>
          <w:szCs w:val="24"/>
        </w:rPr>
        <w:t>bond insurance</w:t>
      </w:r>
    </w:p>
    <w:p w:rsidR="0015253D" w:rsidRDefault="00FC373C" w:rsidP="00E027F3">
      <w:pPr>
        <w:pStyle w:val="NoSpacing"/>
        <w:numPr>
          <w:ilvl w:val="0"/>
          <w:numId w:val="5"/>
        </w:numPr>
        <w:jc w:val="both"/>
        <w:rPr>
          <w:rFonts w:cstheme="majorBidi"/>
        </w:rPr>
      </w:pPr>
      <w:r w:rsidRPr="0015253D">
        <w:rPr>
          <w:rFonts w:cstheme="majorBidi"/>
          <w:sz w:val="24"/>
          <w:szCs w:val="24"/>
        </w:rPr>
        <w:t xml:space="preserve">Employees liability insurance </w:t>
      </w:r>
    </w:p>
    <w:p w:rsidR="0015253D" w:rsidRDefault="00FC373C" w:rsidP="00E027F3">
      <w:pPr>
        <w:pStyle w:val="NoSpacing"/>
        <w:numPr>
          <w:ilvl w:val="0"/>
          <w:numId w:val="5"/>
        </w:numPr>
        <w:jc w:val="both"/>
        <w:rPr>
          <w:rFonts w:cstheme="majorBidi"/>
        </w:rPr>
      </w:pPr>
      <w:r w:rsidRPr="0015253D">
        <w:rPr>
          <w:rFonts w:cstheme="majorBidi"/>
          <w:sz w:val="24"/>
          <w:szCs w:val="24"/>
        </w:rPr>
        <w:t xml:space="preserve">Fleet Motor Insurance </w:t>
      </w:r>
    </w:p>
    <w:p w:rsidR="0015253D" w:rsidRDefault="00FC373C" w:rsidP="00E027F3">
      <w:pPr>
        <w:pStyle w:val="NoSpacing"/>
        <w:numPr>
          <w:ilvl w:val="0"/>
          <w:numId w:val="5"/>
        </w:numPr>
        <w:jc w:val="both"/>
        <w:rPr>
          <w:rFonts w:cstheme="majorBidi"/>
        </w:rPr>
      </w:pPr>
      <w:r w:rsidRPr="0015253D">
        <w:rPr>
          <w:rFonts w:cstheme="majorBidi"/>
          <w:sz w:val="24"/>
          <w:szCs w:val="24"/>
        </w:rPr>
        <w:t xml:space="preserve">Health insurance </w:t>
      </w:r>
    </w:p>
    <w:p w:rsidR="00E0723C" w:rsidRPr="0015253D" w:rsidRDefault="00801D28" w:rsidP="00E027F3">
      <w:pPr>
        <w:pStyle w:val="NoSpacing"/>
        <w:numPr>
          <w:ilvl w:val="0"/>
          <w:numId w:val="5"/>
        </w:numPr>
        <w:jc w:val="both"/>
        <w:rPr>
          <w:rFonts w:cstheme="majorBidi"/>
        </w:rPr>
      </w:pPr>
      <w:r w:rsidRPr="0015253D">
        <w:rPr>
          <w:rFonts w:cstheme="majorBidi"/>
          <w:sz w:val="24"/>
          <w:szCs w:val="24"/>
        </w:rPr>
        <w:t xml:space="preserve">Travel Insurance </w:t>
      </w:r>
    </w:p>
    <w:p w:rsidR="00762F2F" w:rsidRDefault="00762F2F" w:rsidP="007D3138">
      <w:pPr>
        <w:spacing w:line="360" w:lineRule="auto"/>
        <w:rPr>
          <w:rFonts w:asciiTheme="majorBidi" w:hAnsiTheme="majorBidi" w:cstheme="majorBidi"/>
          <w:b/>
          <w:bCs/>
        </w:rPr>
      </w:pPr>
    </w:p>
    <w:p w:rsidR="00535883" w:rsidRDefault="00535883">
      <w:pPr>
        <w:spacing w:after="160" w:line="259" w:lineRule="auto"/>
        <w:rPr>
          <w:rFonts w:asciiTheme="minorHAnsi" w:eastAsiaTheme="minorHAnsi" w:hAnsiTheme="minorHAnsi" w:cstheme="minorBidi"/>
          <w:szCs w:val="22"/>
          <w:lang w:val="en-US" w:eastAsia="en-US"/>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0"/>
        <w:gridCol w:w="2190"/>
      </w:tblGrid>
      <w:tr w:rsidR="002A60B7" w:rsidTr="003D0442">
        <w:tc>
          <w:tcPr>
            <w:tcW w:w="7170" w:type="dxa"/>
            <w:vAlign w:val="bottom"/>
          </w:tcPr>
          <w:p w:rsidR="002A60B7" w:rsidRDefault="003D0442" w:rsidP="001F24AA">
            <w:pPr>
              <w:pStyle w:val="NoSpacing"/>
            </w:pPr>
            <w:r>
              <w:rPr>
                <w:noProof/>
              </w:rPr>
              <w:lastRenderedPageBreak/>
              <w:drawing>
                <wp:anchor distT="0" distB="0" distL="114300" distR="114300" simplePos="0" relativeHeight="251664896" behindDoc="0" locked="0" layoutInCell="1" allowOverlap="1" wp14:anchorId="295AC584" wp14:editId="0FEE5B25">
                  <wp:simplePos x="0" y="0"/>
                  <wp:positionH relativeFrom="column">
                    <wp:posOffset>4105275</wp:posOffset>
                  </wp:positionH>
                  <wp:positionV relativeFrom="paragraph">
                    <wp:posOffset>-333375</wp:posOffset>
                  </wp:positionV>
                  <wp:extent cx="1767840" cy="889635"/>
                  <wp:effectExtent l="0" t="0" r="3810"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png"/>
                          <pic:cNvPicPr/>
                        </pic:nvPicPr>
                        <pic:blipFill>
                          <a:blip r:embed="rId19">
                            <a:extLst>
                              <a:ext uri="{28A0092B-C50C-407E-A947-70E740481C1C}">
                                <a14:useLocalDpi xmlns:a14="http://schemas.microsoft.com/office/drawing/2010/main" val="0"/>
                              </a:ext>
                            </a:extLst>
                          </a:blip>
                          <a:stretch>
                            <a:fillRect/>
                          </a:stretch>
                        </pic:blipFill>
                        <pic:spPr>
                          <a:xfrm>
                            <a:off x="0" y="0"/>
                            <a:ext cx="1767840" cy="889635"/>
                          </a:xfrm>
                          <a:prstGeom prst="rect">
                            <a:avLst/>
                          </a:prstGeom>
                        </pic:spPr>
                      </pic:pic>
                    </a:graphicData>
                  </a:graphic>
                  <wp14:sizeRelH relativeFrom="margin">
                    <wp14:pctWidth>0</wp14:pctWidth>
                  </wp14:sizeRelH>
                  <wp14:sizeRelV relativeFrom="margin">
                    <wp14:pctHeight>0</wp14:pctHeight>
                  </wp14:sizeRelV>
                </wp:anchor>
              </w:drawing>
            </w:r>
            <w:r w:rsidR="00A13066" w:rsidRPr="00FE3786">
              <w:rPr>
                <w:sz w:val="24"/>
              </w:rPr>
              <w:t xml:space="preserve"> </w:t>
            </w:r>
          </w:p>
        </w:tc>
        <w:tc>
          <w:tcPr>
            <w:tcW w:w="2190" w:type="dxa"/>
            <w:vAlign w:val="bottom"/>
          </w:tcPr>
          <w:p w:rsidR="002A60B7" w:rsidRDefault="002A60B7" w:rsidP="001F24AA">
            <w:pPr>
              <w:pStyle w:val="NoSpacing"/>
            </w:pPr>
          </w:p>
        </w:tc>
      </w:tr>
    </w:tbl>
    <w:p w:rsidR="001F24AA" w:rsidRDefault="001F24AA" w:rsidP="001F24AA">
      <w:pPr>
        <w:pStyle w:val="Heading2"/>
      </w:pPr>
      <w:bookmarkStart w:id="14" w:name="_Toc43808707"/>
      <w:r>
        <w:t>3</w:t>
      </w:r>
      <w:r w:rsidRPr="00383974">
        <w:t>.3</w:t>
      </w:r>
      <w:r w:rsidRPr="00383974">
        <w:tab/>
      </w:r>
      <w:r>
        <w:t>The Afghan Global Insurance (</w:t>
      </w:r>
      <w:r w:rsidRPr="00383974">
        <w:t>AGI</w:t>
      </w:r>
      <w:r>
        <w:t>)</w:t>
      </w:r>
      <w:bookmarkEnd w:id="14"/>
    </w:p>
    <w:p w:rsidR="001F24AA" w:rsidRPr="001F24AA" w:rsidRDefault="001F24AA" w:rsidP="001F24AA"/>
    <w:p w:rsidR="00FC373C" w:rsidRPr="003357A5" w:rsidRDefault="00FC373C" w:rsidP="0015253D">
      <w:pPr>
        <w:pStyle w:val="NoSpacing"/>
        <w:jc w:val="both"/>
        <w:rPr>
          <w:rFonts w:cstheme="majorBidi"/>
        </w:rPr>
      </w:pPr>
      <w:r w:rsidRPr="003357A5">
        <w:rPr>
          <w:rFonts w:cstheme="majorBidi"/>
          <w:sz w:val="24"/>
          <w:szCs w:val="24"/>
        </w:rPr>
        <w:t xml:space="preserve">Afghan Global Insurance </w:t>
      </w:r>
      <w:r w:rsidR="00CE14E8">
        <w:rPr>
          <w:rFonts w:cstheme="majorBidi"/>
          <w:sz w:val="24"/>
          <w:szCs w:val="24"/>
        </w:rPr>
        <w:t>(</w:t>
      </w:r>
      <w:r w:rsidRPr="003357A5">
        <w:rPr>
          <w:rFonts w:cstheme="majorBidi"/>
          <w:sz w:val="24"/>
          <w:szCs w:val="24"/>
        </w:rPr>
        <w:t>AGI</w:t>
      </w:r>
      <w:r w:rsidR="00CE14E8">
        <w:rPr>
          <w:rFonts w:cstheme="majorBidi"/>
          <w:sz w:val="24"/>
          <w:szCs w:val="24"/>
        </w:rPr>
        <w:t>),</w:t>
      </w:r>
      <w:r w:rsidRPr="003357A5">
        <w:rPr>
          <w:rFonts w:cstheme="majorBidi"/>
          <w:sz w:val="24"/>
          <w:szCs w:val="24"/>
        </w:rPr>
        <w:t xml:space="preserve"> launched in 2010, is a general insurance provider, offering a variety of policies to private sector, government, NGO’s and individuals throughout Afghanistan with offering a complete range of general insurance products.</w:t>
      </w:r>
      <w:r w:rsidR="0015253D">
        <w:rPr>
          <w:rFonts w:cstheme="majorBidi"/>
          <w:sz w:val="24"/>
          <w:szCs w:val="24"/>
        </w:rPr>
        <w:t xml:space="preserve">  The range of insurance products offered by AGI include:</w:t>
      </w:r>
    </w:p>
    <w:p w:rsidR="000F5B3A" w:rsidRDefault="000F5B3A" w:rsidP="007A33FF">
      <w:pPr>
        <w:pStyle w:val="NoSpacing"/>
        <w:jc w:val="both"/>
        <w:rPr>
          <w:rFonts w:cstheme="majorBidi"/>
        </w:rPr>
      </w:pPr>
    </w:p>
    <w:p w:rsidR="0015253D" w:rsidRDefault="00FC373C" w:rsidP="00E027F3">
      <w:pPr>
        <w:pStyle w:val="NoSpacing"/>
        <w:numPr>
          <w:ilvl w:val="0"/>
          <w:numId w:val="6"/>
        </w:numPr>
        <w:jc w:val="both"/>
        <w:rPr>
          <w:rFonts w:cstheme="majorBidi"/>
        </w:rPr>
      </w:pPr>
      <w:r w:rsidRPr="003357A5">
        <w:rPr>
          <w:rFonts w:cstheme="majorBidi"/>
          <w:sz w:val="24"/>
          <w:szCs w:val="24"/>
        </w:rPr>
        <w:t>Health insurance</w:t>
      </w:r>
    </w:p>
    <w:p w:rsidR="0015253D" w:rsidRDefault="00FC373C" w:rsidP="00E027F3">
      <w:pPr>
        <w:pStyle w:val="NoSpacing"/>
        <w:numPr>
          <w:ilvl w:val="0"/>
          <w:numId w:val="6"/>
        </w:numPr>
        <w:jc w:val="both"/>
        <w:rPr>
          <w:rFonts w:cstheme="majorBidi"/>
        </w:rPr>
      </w:pPr>
      <w:r w:rsidRPr="0015253D">
        <w:rPr>
          <w:rFonts w:cstheme="majorBidi"/>
          <w:sz w:val="24"/>
          <w:szCs w:val="24"/>
        </w:rPr>
        <w:t xml:space="preserve">Group personal Accident insurance </w:t>
      </w:r>
    </w:p>
    <w:p w:rsidR="0015253D" w:rsidRDefault="00FC373C" w:rsidP="00E027F3">
      <w:pPr>
        <w:pStyle w:val="NoSpacing"/>
        <w:numPr>
          <w:ilvl w:val="0"/>
          <w:numId w:val="6"/>
        </w:numPr>
        <w:jc w:val="both"/>
        <w:rPr>
          <w:rFonts w:cstheme="majorBidi"/>
        </w:rPr>
      </w:pPr>
      <w:r w:rsidRPr="0015253D">
        <w:rPr>
          <w:rFonts w:cstheme="majorBidi"/>
          <w:sz w:val="24"/>
          <w:szCs w:val="24"/>
        </w:rPr>
        <w:t>Workmen compensation insurance</w:t>
      </w:r>
    </w:p>
    <w:p w:rsidR="0015253D" w:rsidRDefault="00FC373C" w:rsidP="00E027F3">
      <w:pPr>
        <w:pStyle w:val="NoSpacing"/>
        <w:numPr>
          <w:ilvl w:val="0"/>
          <w:numId w:val="6"/>
        </w:numPr>
        <w:jc w:val="both"/>
        <w:rPr>
          <w:rFonts w:cstheme="majorBidi"/>
        </w:rPr>
      </w:pPr>
      <w:r w:rsidRPr="0015253D">
        <w:rPr>
          <w:rFonts w:cstheme="majorBidi"/>
          <w:sz w:val="24"/>
          <w:szCs w:val="24"/>
        </w:rPr>
        <w:t>Construction all Risk insurance</w:t>
      </w:r>
    </w:p>
    <w:p w:rsidR="0015253D" w:rsidRDefault="00FC373C" w:rsidP="00E027F3">
      <w:pPr>
        <w:pStyle w:val="NoSpacing"/>
        <w:numPr>
          <w:ilvl w:val="0"/>
          <w:numId w:val="6"/>
        </w:numPr>
        <w:jc w:val="both"/>
        <w:rPr>
          <w:rFonts w:cstheme="majorBidi"/>
        </w:rPr>
      </w:pPr>
      <w:r w:rsidRPr="0015253D">
        <w:rPr>
          <w:rFonts w:cstheme="majorBidi"/>
          <w:sz w:val="24"/>
          <w:szCs w:val="24"/>
        </w:rPr>
        <w:t>Motor Insurance</w:t>
      </w:r>
    </w:p>
    <w:p w:rsidR="0015253D" w:rsidRDefault="00FC373C" w:rsidP="00E027F3">
      <w:pPr>
        <w:pStyle w:val="NoSpacing"/>
        <w:numPr>
          <w:ilvl w:val="0"/>
          <w:numId w:val="6"/>
        </w:numPr>
        <w:jc w:val="both"/>
        <w:rPr>
          <w:rFonts w:cstheme="majorBidi"/>
        </w:rPr>
      </w:pPr>
      <w:r w:rsidRPr="0015253D">
        <w:rPr>
          <w:rFonts w:cstheme="majorBidi"/>
          <w:sz w:val="24"/>
          <w:szCs w:val="24"/>
        </w:rPr>
        <w:t>Travel insurance</w:t>
      </w:r>
    </w:p>
    <w:p w:rsidR="0015253D" w:rsidRDefault="00FC373C" w:rsidP="00E027F3">
      <w:pPr>
        <w:pStyle w:val="NoSpacing"/>
        <w:numPr>
          <w:ilvl w:val="0"/>
          <w:numId w:val="6"/>
        </w:numPr>
        <w:jc w:val="both"/>
        <w:rPr>
          <w:rFonts w:cstheme="majorBidi"/>
        </w:rPr>
      </w:pPr>
      <w:r w:rsidRPr="0015253D">
        <w:rPr>
          <w:rFonts w:cstheme="majorBidi"/>
          <w:sz w:val="24"/>
          <w:szCs w:val="24"/>
        </w:rPr>
        <w:t>Fire insurance</w:t>
      </w:r>
    </w:p>
    <w:p w:rsidR="0015253D" w:rsidRDefault="00FC373C" w:rsidP="00E027F3">
      <w:pPr>
        <w:pStyle w:val="NoSpacing"/>
        <w:numPr>
          <w:ilvl w:val="0"/>
          <w:numId w:val="6"/>
        </w:numPr>
        <w:jc w:val="both"/>
        <w:rPr>
          <w:rFonts w:cstheme="majorBidi"/>
        </w:rPr>
      </w:pPr>
      <w:r w:rsidRPr="0015253D">
        <w:rPr>
          <w:rFonts w:cstheme="majorBidi"/>
          <w:sz w:val="24"/>
          <w:szCs w:val="24"/>
        </w:rPr>
        <w:t xml:space="preserve">Defense Based Act </w:t>
      </w:r>
      <w:r w:rsidR="00C03AC8" w:rsidRPr="0015253D">
        <w:rPr>
          <w:rFonts w:cstheme="majorBidi"/>
          <w:sz w:val="24"/>
          <w:szCs w:val="24"/>
        </w:rPr>
        <w:t>violation insurance</w:t>
      </w:r>
    </w:p>
    <w:p w:rsidR="0015253D" w:rsidRDefault="00FC373C" w:rsidP="00E027F3">
      <w:pPr>
        <w:pStyle w:val="NoSpacing"/>
        <w:numPr>
          <w:ilvl w:val="0"/>
          <w:numId w:val="6"/>
        </w:numPr>
        <w:jc w:val="both"/>
        <w:rPr>
          <w:rFonts w:cstheme="majorBidi"/>
        </w:rPr>
      </w:pPr>
      <w:r w:rsidRPr="0015253D">
        <w:rPr>
          <w:rFonts w:cstheme="majorBidi"/>
          <w:sz w:val="24"/>
          <w:szCs w:val="24"/>
        </w:rPr>
        <w:t>Erection all Risk insurance</w:t>
      </w:r>
    </w:p>
    <w:p w:rsidR="0015253D" w:rsidRDefault="00FC373C" w:rsidP="00E027F3">
      <w:pPr>
        <w:pStyle w:val="NoSpacing"/>
        <w:numPr>
          <w:ilvl w:val="0"/>
          <w:numId w:val="6"/>
        </w:numPr>
        <w:jc w:val="both"/>
        <w:rPr>
          <w:rFonts w:cstheme="majorBidi"/>
        </w:rPr>
      </w:pPr>
      <w:r w:rsidRPr="0015253D">
        <w:rPr>
          <w:rFonts w:cstheme="majorBidi"/>
          <w:sz w:val="24"/>
          <w:szCs w:val="24"/>
        </w:rPr>
        <w:t xml:space="preserve">Banker’s blanked </w:t>
      </w:r>
      <w:r w:rsidR="00C03AC8" w:rsidRPr="0015253D">
        <w:rPr>
          <w:rFonts w:cstheme="majorBidi"/>
          <w:sz w:val="24"/>
          <w:szCs w:val="24"/>
        </w:rPr>
        <w:t>bond insurance</w:t>
      </w:r>
    </w:p>
    <w:p w:rsidR="0015253D" w:rsidRDefault="00FC373C" w:rsidP="00E027F3">
      <w:pPr>
        <w:pStyle w:val="NoSpacing"/>
        <w:numPr>
          <w:ilvl w:val="0"/>
          <w:numId w:val="6"/>
        </w:numPr>
        <w:jc w:val="both"/>
        <w:rPr>
          <w:rFonts w:cstheme="majorBidi"/>
        </w:rPr>
      </w:pPr>
      <w:r w:rsidRPr="0015253D">
        <w:rPr>
          <w:rFonts w:cstheme="majorBidi"/>
          <w:sz w:val="24"/>
          <w:szCs w:val="24"/>
        </w:rPr>
        <w:t>Aviation insurance</w:t>
      </w:r>
    </w:p>
    <w:p w:rsidR="0015253D" w:rsidRDefault="00FC373C" w:rsidP="00E027F3">
      <w:pPr>
        <w:pStyle w:val="NoSpacing"/>
        <w:numPr>
          <w:ilvl w:val="0"/>
          <w:numId w:val="6"/>
        </w:numPr>
        <w:jc w:val="both"/>
        <w:rPr>
          <w:rFonts w:cstheme="majorBidi"/>
        </w:rPr>
      </w:pPr>
      <w:r w:rsidRPr="0015253D">
        <w:rPr>
          <w:rFonts w:cstheme="majorBidi"/>
          <w:sz w:val="24"/>
          <w:szCs w:val="24"/>
        </w:rPr>
        <w:t>Professional Indemnity insurance</w:t>
      </w:r>
    </w:p>
    <w:p w:rsidR="0015253D" w:rsidRDefault="00FC373C" w:rsidP="00E027F3">
      <w:pPr>
        <w:pStyle w:val="NoSpacing"/>
        <w:numPr>
          <w:ilvl w:val="0"/>
          <w:numId w:val="6"/>
        </w:numPr>
        <w:jc w:val="both"/>
        <w:rPr>
          <w:rFonts w:cstheme="majorBidi"/>
        </w:rPr>
      </w:pPr>
      <w:r w:rsidRPr="0015253D">
        <w:rPr>
          <w:rFonts w:cstheme="majorBidi"/>
          <w:sz w:val="24"/>
          <w:szCs w:val="24"/>
        </w:rPr>
        <w:t>Cargo insurance</w:t>
      </w:r>
    </w:p>
    <w:p w:rsidR="00FC373C" w:rsidRPr="0015253D" w:rsidRDefault="00FC373C" w:rsidP="00E027F3">
      <w:pPr>
        <w:pStyle w:val="NoSpacing"/>
        <w:numPr>
          <w:ilvl w:val="0"/>
          <w:numId w:val="6"/>
        </w:numPr>
        <w:jc w:val="both"/>
        <w:rPr>
          <w:rFonts w:cstheme="majorBidi"/>
        </w:rPr>
      </w:pPr>
      <w:r w:rsidRPr="0015253D">
        <w:rPr>
          <w:rFonts w:cstheme="majorBidi"/>
          <w:sz w:val="24"/>
          <w:szCs w:val="24"/>
        </w:rPr>
        <w:t>Defense Based Act insurance DBA</w:t>
      </w:r>
    </w:p>
    <w:p w:rsidR="00535883" w:rsidRDefault="00535883">
      <w:pPr>
        <w:spacing w:after="160" w:line="259" w:lineRule="auto"/>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4"/>
        <w:gridCol w:w="2616"/>
      </w:tblGrid>
      <w:tr w:rsidR="002A60B7" w:rsidTr="003D0442">
        <w:tc>
          <w:tcPr>
            <w:tcW w:w="6744" w:type="dxa"/>
            <w:vAlign w:val="bottom"/>
          </w:tcPr>
          <w:p w:rsidR="002A60B7" w:rsidRDefault="002A60B7" w:rsidP="001F24AA">
            <w:pPr>
              <w:pStyle w:val="NoSpacing"/>
            </w:pPr>
          </w:p>
        </w:tc>
        <w:tc>
          <w:tcPr>
            <w:tcW w:w="2616" w:type="dxa"/>
            <w:vAlign w:val="bottom"/>
          </w:tcPr>
          <w:p w:rsidR="002A60B7" w:rsidRDefault="002A60B7" w:rsidP="001F24AA">
            <w:pPr>
              <w:pStyle w:val="NoSpacing"/>
            </w:pPr>
            <w:r>
              <w:rPr>
                <w:noProof/>
              </w:rPr>
              <w:drawing>
                <wp:anchor distT="0" distB="0" distL="114300" distR="114300" simplePos="0" relativeHeight="251663872" behindDoc="0" locked="0" layoutInCell="1" allowOverlap="1" wp14:anchorId="38D987CA" wp14:editId="23B13CC8">
                  <wp:simplePos x="0" y="0"/>
                  <wp:positionH relativeFrom="column">
                    <wp:posOffset>1905</wp:posOffset>
                  </wp:positionH>
                  <wp:positionV relativeFrom="paragraph">
                    <wp:posOffset>0</wp:posOffset>
                  </wp:positionV>
                  <wp:extent cx="1524132" cy="64775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png"/>
                          <pic:cNvPicPr/>
                        </pic:nvPicPr>
                        <pic:blipFill>
                          <a:blip r:embed="rId20">
                            <a:extLst>
                              <a:ext uri="{28A0092B-C50C-407E-A947-70E740481C1C}">
                                <a14:useLocalDpi xmlns:a14="http://schemas.microsoft.com/office/drawing/2010/main" val="0"/>
                              </a:ext>
                            </a:extLst>
                          </a:blip>
                          <a:stretch>
                            <a:fillRect/>
                          </a:stretch>
                        </pic:blipFill>
                        <pic:spPr>
                          <a:xfrm>
                            <a:off x="0" y="0"/>
                            <a:ext cx="1524132" cy="647756"/>
                          </a:xfrm>
                          <a:prstGeom prst="rect">
                            <a:avLst/>
                          </a:prstGeom>
                        </pic:spPr>
                      </pic:pic>
                    </a:graphicData>
                  </a:graphic>
                </wp:anchor>
              </w:drawing>
            </w:r>
          </w:p>
        </w:tc>
      </w:tr>
    </w:tbl>
    <w:p w:rsidR="001F24AA" w:rsidRDefault="001F24AA" w:rsidP="001F24AA">
      <w:pPr>
        <w:pStyle w:val="Heading2"/>
      </w:pPr>
      <w:bookmarkStart w:id="15" w:name="_Toc43808708"/>
      <w:r>
        <w:t>3</w:t>
      </w:r>
      <w:r w:rsidRPr="00383974">
        <w:t>.4</w:t>
      </w:r>
      <w:r w:rsidRPr="00383974">
        <w:tab/>
      </w:r>
      <w:r>
        <w:t xml:space="preserve">The </w:t>
      </w:r>
      <w:r w:rsidRPr="00383974">
        <w:t>SKY Insurance</w:t>
      </w:r>
      <w:bookmarkEnd w:id="15"/>
    </w:p>
    <w:p w:rsidR="001F24AA" w:rsidRPr="001F24AA" w:rsidRDefault="001F24AA" w:rsidP="001F24AA"/>
    <w:p w:rsidR="00FC373C" w:rsidRDefault="00A36A4B" w:rsidP="007A33FF">
      <w:pPr>
        <w:pStyle w:val="NoSpacing"/>
        <w:jc w:val="both"/>
        <w:rPr>
          <w:rFonts w:cstheme="majorBidi"/>
        </w:rPr>
      </w:pPr>
      <w:r w:rsidRPr="003357A5">
        <w:rPr>
          <w:rFonts w:cstheme="majorBidi"/>
          <w:sz w:val="24"/>
          <w:szCs w:val="24"/>
        </w:rPr>
        <w:t>Sky international insurance was incorporated in September 2016.</w:t>
      </w:r>
      <w:r w:rsidR="00CE14E8">
        <w:rPr>
          <w:rFonts w:cstheme="majorBidi"/>
          <w:sz w:val="24"/>
          <w:szCs w:val="24"/>
        </w:rPr>
        <w:t xml:space="preserve">  It offers i</w:t>
      </w:r>
      <w:r w:rsidR="006D44FB" w:rsidRPr="003357A5">
        <w:rPr>
          <w:rFonts w:cstheme="majorBidi"/>
          <w:sz w:val="24"/>
          <w:szCs w:val="24"/>
        </w:rPr>
        <w:t xml:space="preserve">nsurance </w:t>
      </w:r>
      <w:r w:rsidR="00CE14E8">
        <w:rPr>
          <w:rFonts w:cstheme="majorBidi"/>
          <w:sz w:val="24"/>
          <w:szCs w:val="24"/>
        </w:rPr>
        <w:t>p</w:t>
      </w:r>
      <w:r w:rsidR="006D44FB" w:rsidRPr="003357A5">
        <w:rPr>
          <w:rFonts w:cstheme="majorBidi"/>
          <w:sz w:val="24"/>
          <w:szCs w:val="24"/>
        </w:rPr>
        <w:t>roduct</w:t>
      </w:r>
      <w:r w:rsidR="00CE14E8">
        <w:rPr>
          <w:rFonts w:cstheme="majorBidi"/>
          <w:sz w:val="24"/>
          <w:szCs w:val="24"/>
        </w:rPr>
        <w:t>s including</w:t>
      </w:r>
      <w:r w:rsidR="006D44FB" w:rsidRPr="003357A5">
        <w:rPr>
          <w:rFonts w:cstheme="majorBidi"/>
          <w:sz w:val="24"/>
          <w:szCs w:val="24"/>
        </w:rPr>
        <w:t>:</w:t>
      </w:r>
    </w:p>
    <w:p w:rsidR="00CE14E8" w:rsidRPr="003357A5" w:rsidRDefault="00CE14E8" w:rsidP="007A33FF">
      <w:pPr>
        <w:pStyle w:val="NoSpacing"/>
        <w:jc w:val="both"/>
        <w:rPr>
          <w:rFonts w:cstheme="majorBidi"/>
        </w:rPr>
      </w:pPr>
    </w:p>
    <w:p w:rsidR="00E041DE" w:rsidRPr="003357A5" w:rsidRDefault="006D44FB" w:rsidP="00E027F3">
      <w:pPr>
        <w:pStyle w:val="NoSpacing"/>
        <w:numPr>
          <w:ilvl w:val="0"/>
          <w:numId w:val="7"/>
        </w:numPr>
        <w:jc w:val="both"/>
        <w:rPr>
          <w:rFonts w:cstheme="majorBidi"/>
        </w:rPr>
      </w:pPr>
      <w:r w:rsidRPr="003357A5">
        <w:rPr>
          <w:rFonts w:cstheme="majorBidi"/>
          <w:sz w:val="24"/>
          <w:szCs w:val="24"/>
        </w:rPr>
        <w:t xml:space="preserve">Aviation Insurance </w:t>
      </w:r>
      <w:r w:rsidRPr="003357A5">
        <w:rPr>
          <w:rFonts w:cstheme="majorBidi"/>
          <w:sz w:val="24"/>
          <w:szCs w:val="24"/>
        </w:rPr>
        <w:tab/>
      </w:r>
    </w:p>
    <w:p w:rsidR="006D44FB" w:rsidRPr="003357A5" w:rsidRDefault="006D44FB" w:rsidP="00E027F3">
      <w:pPr>
        <w:pStyle w:val="NoSpacing"/>
        <w:numPr>
          <w:ilvl w:val="0"/>
          <w:numId w:val="7"/>
        </w:numPr>
        <w:jc w:val="both"/>
        <w:rPr>
          <w:rFonts w:cstheme="majorBidi"/>
        </w:rPr>
      </w:pPr>
      <w:r w:rsidRPr="003357A5">
        <w:rPr>
          <w:rFonts w:cstheme="majorBidi"/>
          <w:sz w:val="24"/>
          <w:szCs w:val="24"/>
        </w:rPr>
        <w:t xml:space="preserve">Marine cargo insurance </w:t>
      </w:r>
      <w:r w:rsidRPr="003357A5">
        <w:rPr>
          <w:rFonts w:cstheme="majorBidi"/>
          <w:sz w:val="24"/>
          <w:szCs w:val="24"/>
        </w:rPr>
        <w:tab/>
      </w:r>
    </w:p>
    <w:p w:rsidR="006D44FB" w:rsidRPr="003357A5" w:rsidRDefault="006D44FB" w:rsidP="00E027F3">
      <w:pPr>
        <w:pStyle w:val="NoSpacing"/>
        <w:numPr>
          <w:ilvl w:val="0"/>
          <w:numId w:val="7"/>
        </w:numPr>
        <w:jc w:val="both"/>
        <w:rPr>
          <w:rFonts w:cstheme="majorBidi"/>
        </w:rPr>
      </w:pPr>
      <w:r w:rsidRPr="003357A5">
        <w:rPr>
          <w:rFonts w:cstheme="majorBidi"/>
          <w:sz w:val="24"/>
          <w:szCs w:val="24"/>
        </w:rPr>
        <w:t>Contractor’s all risk (CAR)</w:t>
      </w:r>
    </w:p>
    <w:p w:rsidR="006D44FB" w:rsidRPr="003357A5" w:rsidRDefault="006D44FB" w:rsidP="00E027F3">
      <w:pPr>
        <w:pStyle w:val="NoSpacing"/>
        <w:numPr>
          <w:ilvl w:val="0"/>
          <w:numId w:val="7"/>
        </w:numPr>
        <w:jc w:val="both"/>
        <w:rPr>
          <w:rFonts w:cstheme="majorBidi"/>
        </w:rPr>
      </w:pPr>
      <w:r w:rsidRPr="003357A5">
        <w:rPr>
          <w:rFonts w:cstheme="majorBidi"/>
          <w:sz w:val="24"/>
          <w:szCs w:val="24"/>
        </w:rPr>
        <w:t>Group personal accident (GPA)</w:t>
      </w:r>
    </w:p>
    <w:p w:rsidR="006D44FB" w:rsidRPr="003357A5" w:rsidRDefault="006D44FB" w:rsidP="00E027F3">
      <w:pPr>
        <w:pStyle w:val="NoSpacing"/>
        <w:numPr>
          <w:ilvl w:val="0"/>
          <w:numId w:val="7"/>
        </w:numPr>
        <w:jc w:val="both"/>
        <w:rPr>
          <w:rFonts w:cstheme="majorBidi"/>
        </w:rPr>
      </w:pPr>
      <w:r w:rsidRPr="003357A5">
        <w:rPr>
          <w:rFonts w:cstheme="majorBidi"/>
          <w:sz w:val="24"/>
          <w:szCs w:val="24"/>
        </w:rPr>
        <w:t xml:space="preserve">Worker </w:t>
      </w:r>
      <w:r w:rsidR="00907A5C" w:rsidRPr="003357A5">
        <w:rPr>
          <w:rFonts w:cstheme="majorBidi"/>
          <w:sz w:val="24"/>
          <w:szCs w:val="24"/>
        </w:rPr>
        <w:t>compensation (</w:t>
      </w:r>
      <w:r w:rsidRPr="003357A5">
        <w:rPr>
          <w:rFonts w:cstheme="majorBidi"/>
          <w:sz w:val="24"/>
          <w:szCs w:val="24"/>
        </w:rPr>
        <w:t>WC)</w:t>
      </w:r>
    </w:p>
    <w:p w:rsidR="006D44FB" w:rsidRPr="003357A5" w:rsidRDefault="006D44FB" w:rsidP="00E027F3">
      <w:pPr>
        <w:pStyle w:val="NoSpacing"/>
        <w:numPr>
          <w:ilvl w:val="0"/>
          <w:numId w:val="7"/>
        </w:numPr>
        <w:jc w:val="both"/>
        <w:rPr>
          <w:rFonts w:cstheme="majorBidi"/>
        </w:rPr>
      </w:pPr>
      <w:r w:rsidRPr="003357A5">
        <w:rPr>
          <w:rFonts w:cstheme="majorBidi"/>
          <w:sz w:val="24"/>
          <w:szCs w:val="24"/>
        </w:rPr>
        <w:t>Defense based act (DBA)</w:t>
      </w:r>
    </w:p>
    <w:p w:rsidR="006D44FB" w:rsidRPr="003357A5" w:rsidRDefault="006D44FB" w:rsidP="00E027F3">
      <w:pPr>
        <w:pStyle w:val="NoSpacing"/>
        <w:numPr>
          <w:ilvl w:val="0"/>
          <w:numId w:val="7"/>
        </w:numPr>
        <w:jc w:val="both"/>
        <w:rPr>
          <w:rFonts w:cstheme="majorBidi"/>
        </w:rPr>
      </w:pPr>
      <w:r w:rsidRPr="003357A5">
        <w:rPr>
          <w:rFonts w:cstheme="majorBidi"/>
          <w:sz w:val="24"/>
          <w:szCs w:val="24"/>
        </w:rPr>
        <w:t xml:space="preserve">Property and casualty insurance </w:t>
      </w:r>
    </w:p>
    <w:p w:rsidR="006D44FB" w:rsidRPr="003357A5" w:rsidRDefault="006D44FB" w:rsidP="00E027F3">
      <w:pPr>
        <w:pStyle w:val="NoSpacing"/>
        <w:numPr>
          <w:ilvl w:val="0"/>
          <w:numId w:val="7"/>
        </w:numPr>
        <w:jc w:val="both"/>
        <w:rPr>
          <w:rFonts w:cstheme="majorBidi"/>
        </w:rPr>
      </w:pPr>
      <w:r w:rsidRPr="003357A5">
        <w:rPr>
          <w:rFonts w:cstheme="majorBidi"/>
          <w:sz w:val="24"/>
          <w:szCs w:val="24"/>
        </w:rPr>
        <w:t>Banker blanket bond (BBB)</w:t>
      </w:r>
    </w:p>
    <w:p w:rsidR="006D44FB" w:rsidRPr="003357A5" w:rsidRDefault="006D44FB" w:rsidP="00E027F3">
      <w:pPr>
        <w:pStyle w:val="NoSpacing"/>
        <w:numPr>
          <w:ilvl w:val="0"/>
          <w:numId w:val="7"/>
        </w:numPr>
        <w:jc w:val="both"/>
        <w:rPr>
          <w:rFonts w:cstheme="majorBidi"/>
        </w:rPr>
      </w:pPr>
      <w:r w:rsidRPr="003357A5">
        <w:rPr>
          <w:rFonts w:cstheme="majorBidi"/>
          <w:sz w:val="24"/>
          <w:szCs w:val="24"/>
        </w:rPr>
        <w:t xml:space="preserve">Travel Insurance </w:t>
      </w:r>
    </w:p>
    <w:p w:rsidR="006D44FB" w:rsidRPr="003357A5" w:rsidRDefault="006D44FB" w:rsidP="00E027F3">
      <w:pPr>
        <w:pStyle w:val="NoSpacing"/>
        <w:numPr>
          <w:ilvl w:val="0"/>
          <w:numId w:val="7"/>
        </w:numPr>
        <w:jc w:val="both"/>
        <w:rPr>
          <w:rFonts w:cstheme="majorBidi"/>
        </w:rPr>
      </w:pPr>
      <w:r w:rsidRPr="003357A5">
        <w:rPr>
          <w:rFonts w:cstheme="majorBidi"/>
          <w:sz w:val="24"/>
          <w:szCs w:val="24"/>
        </w:rPr>
        <w:t xml:space="preserve">Motor fleet insurance </w:t>
      </w:r>
    </w:p>
    <w:p w:rsidR="006D44FB" w:rsidRPr="003357A5" w:rsidRDefault="006D44FB" w:rsidP="00E027F3">
      <w:pPr>
        <w:pStyle w:val="NoSpacing"/>
        <w:numPr>
          <w:ilvl w:val="0"/>
          <w:numId w:val="7"/>
        </w:numPr>
        <w:jc w:val="both"/>
        <w:rPr>
          <w:rFonts w:cstheme="majorBidi"/>
        </w:rPr>
      </w:pPr>
      <w:r w:rsidRPr="003357A5">
        <w:rPr>
          <w:rFonts w:cstheme="majorBidi"/>
          <w:sz w:val="24"/>
          <w:szCs w:val="24"/>
        </w:rPr>
        <w:t xml:space="preserve">Liabilities insurance </w:t>
      </w:r>
    </w:p>
    <w:p w:rsidR="00D24E87" w:rsidRPr="003357A5" w:rsidRDefault="006D44FB" w:rsidP="00E027F3">
      <w:pPr>
        <w:pStyle w:val="NoSpacing"/>
        <w:numPr>
          <w:ilvl w:val="0"/>
          <w:numId w:val="7"/>
        </w:numPr>
        <w:jc w:val="both"/>
        <w:rPr>
          <w:rFonts w:cstheme="majorBidi"/>
        </w:rPr>
      </w:pPr>
      <w:r w:rsidRPr="003357A5">
        <w:rPr>
          <w:rFonts w:cstheme="majorBidi"/>
          <w:sz w:val="24"/>
          <w:szCs w:val="24"/>
        </w:rPr>
        <w:t xml:space="preserve">Fire Insurance  </w:t>
      </w:r>
    </w:p>
    <w:p w:rsidR="005954D5" w:rsidRDefault="005954D5" w:rsidP="007A33FF">
      <w:pPr>
        <w:pStyle w:val="NoSpacing"/>
      </w:pPr>
    </w:p>
    <w:p w:rsidR="00535883" w:rsidRDefault="00535883">
      <w:pPr>
        <w:spacing w:after="160" w:line="259" w:lineRule="auto"/>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br w:type="page"/>
      </w:r>
    </w:p>
    <w:p w:rsidR="00062917" w:rsidRDefault="00062917">
      <w:pPr>
        <w:spacing w:after="160" w:line="259" w:lineRule="auto"/>
        <w:rPr>
          <w:rFonts w:asciiTheme="majorHAnsi" w:eastAsiaTheme="majorEastAsia" w:hAnsiTheme="majorHAnsi" w:cstheme="majorBidi"/>
          <w:color w:val="365F91" w:themeColor="accent1" w:themeShade="BF"/>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0"/>
        <w:gridCol w:w="2190"/>
      </w:tblGrid>
      <w:tr w:rsidR="002A60B7" w:rsidTr="005A3ACB">
        <w:tc>
          <w:tcPr>
            <w:tcW w:w="7338" w:type="dxa"/>
            <w:vAlign w:val="bottom"/>
          </w:tcPr>
          <w:p w:rsidR="002A60B7" w:rsidRDefault="002A60B7" w:rsidP="001F24AA">
            <w:pPr>
              <w:pStyle w:val="NoSpacing"/>
            </w:pPr>
          </w:p>
        </w:tc>
        <w:tc>
          <w:tcPr>
            <w:tcW w:w="2238" w:type="dxa"/>
            <w:vAlign w:val="bottom"/>
          </w:tcPr>
          <w:p w:rsidR="002A60B7" w:rsidRDefault="003D0442" w:rsidP="001F24AA">
            <w:pPr>
              <w:pStyle w:val="NoSpacing"/>
            </w:pPr>
            <w:r>
              <w:rPr>
                <w:noProof/>
              </w:rPr>
              <w:drawing>
                <wp:anchor distT="0" distB="0" distL="114300" distR="114300" simplePos="0" relativeHeight="251662848" behindDoc="0" locked="0" layoutInCell="1" allowOverlap="1" wp14:anchorId="44243ABD" wp14:editId="04C45536">
                  <wp:simplePos x="0" y="0"/>
                  <wp:positionH relativeFrom="column">
                    <wp:posOffset>-744855</wp:posOffset>
                  </wp:positionH>
                  <wp:positionV relativeFrom="paragraph">
                    <wp:posOffset>-328930</wp:posOffset>
                  </wp:positionV>
                  <wp:extent cx="2057400" cy="1003935"/>
                  <wp:effectExtent l="0" t="0" r="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ra.png"/>
                          <pic:cNvPicPr/>
                        </pic:nvPicPr>
                        <pic:blipFill>
                          <a:blip r:embed="rId21">
                            <a:extLst>
                              <a:ext uri="{28A0092B-C50C-407E-A947-70E740481C1C}">
                                <a14:useLocalDpi xmlns:a14="http://schemas.microsoft.com/office/drawing/2010/main" val="0"/>
                              </a:ext>
                            </a:extLst>
                          </a:blip>
                          <a:stretch>
                            <a:fillRect/>
                          </a:stretch>
                        </pic:blipFill>
                        <pic:spPr>
                          <a:xfrm>
                            <a:off x="0" y="0"/>
                            <a:ext cx="2057400" cy="1003935"/>
                          </a:xfrm>
                          <a:prstGeom prst="rect">
                            <a:avLst/>
                          </a:prstGeom>
                        </pic:spPr>
                      </pic:pic>
                    </a:graphicData>
                  </a:graphic>
                  <wp14:sizeRelH relativeFrom="margin">
                    <wp14:pctWidth>0</wp14:pctWidth>
                  </wp14:sizeRelH>
                  <wp14:sizeRelV relativeFrom="margin">
                    <wp14:pctHeight>0</wp14:pctHeight>
                  </wp14:sizeRelV>
                </wp:anchor>
              </w:drawing>
            </w:r>
          </w:p>
        </w:tc>
      </w:tr>
    </w:tbl>
    <w:p w:rsidR="002A60B7" w:rsidRDefault="002A60B7" w:rsidP="001F24AA">
      <w:pPr>
        <w:pStyle w:val="NoSpacing"/>
      </w:pPr>
    </w:p>
    <w:p w:rsidR="001F24AA" w:rsidRDefault="001F24AA" w:rsidP="001F24AA">
      <w:pPr>
        <w:pStyle w:val="Heading2"/>
      </w:pPr>
      <w:bookmarkStart w:id="16" w:name="_Toc43808709"/>
      <w:r>
        <w:t>3.5</w:t>
      </w:r>
      <w:r w:rsidRPr="00383974">
        <w:tab/>
        <w:t>Analysis o</w:t>
      </w:r>
      <w:r>
        <w:t>f the Financial Report of Sadra</w:t>
      </w:r>
      <w:bookmarkEnd w:id="16"/>
    </w:p>
    <w:p w:rsidR="001F24AA" w:rsidRPr="001F24AA" w:rsidRDefault="001F24AA" w:rsidP="001F24AA"/>
    <w:p w:rsidR="00590CA9" w:rsidRPr="00FE3786" w:rsidRDefault="008305E5" w:rsidP="007A33FF">
      <w:pPr>
        <w:pStyle w:val="NoSpacing"/>
        <w:jc w:val="both"/>
        <w:rPr>
          <w:sz w:val="24"/>
          <w:szCs w:val="24"/>
        </w:rPr>
      </w:pPr>
      <w:r w:rsidRPr="00FE3786">
        <w:rPr>
          <w:sz w:val="24"/>
          <w:szCs w:val="24"/>
        </w:rPr>
        <w:t xml:space="preserve">Sadra insurance company is one of the private insurance companies </w:t>
      </w:r>
      <w:r w:rsidR="00CE14E8" w:rsidRPr="00FE3786">
        <w:rPr>
          <w:sz w:val="24"/>
          <w:szCs w:val="24"/>
        </w:rPr>
        <w:t xml:space="preserve">in Afghanistan, </w:t>
      </w:r>
      <w:r w:rsidRPr="00FE3786">
        <w:rPr>
          <w:sz w:val="24"/>
          <w:szCs w:val="24"/>
        </w:rPr>
        <w:t xml:space="preserve">registered </w:t>
      </w:r>
      <w:r w:rsidR="00CE14E8" w:rsidRPr="00FE3786">
        <w:rPr>
          <w:sz w:val="24"/>
          <w:szCs w:val="24"/>
        </w:rPr>
        <w:t xml:space="preserve">since </w:t>
      </w:r>
      <w:r w:rsidRPr="00FE3786">
        <w:rPr>
          <w:sz w:val="24"/>
          <w:szCs w:val="24"/>
        </w:rPr>
        <w:t>2018</w:t>
      </w:r>
      <w:r w:rsidR="00CE14E8" w:rsidRPr="00FE3786">
        <w:rPr>
          <w:sz w:val="24"/>
          <w:szCs w:val="24"/>
        </w:rPr>
        <w:t xml:space="preserve">.  </w:t>
      </w:r>
      <w:r w:rsidR="005954D5" w:rsidRPr="00FE3786">
        <w:rPr>
          <w:sz w:val="24"/>
          <w:szCs w:val="24"/>
        </w:rPr>
        <w:t>The stocks of this C</w:t>
      </w:r>
      <w:r w:rsidR="001A0C6E" w:rsidRPr="00FE3786">
        <w:rPr>
          <w:sz w:val="24"/>
          <w:szCs w:val="24"/>
        </w:rPr>
        <w:t>ompany are entirely in ownership of individuals and non-governmental entities</w:t>
      </w:r>
      <w:r w:rsidR="00CE14E8" w:rsidRPr="00FE3786">
        <w:rPr>
          <w:sz w:val="24"/>
          <w:szCs w:val="24"/>
        </w:rPr>
        <w:t xml:space="preserve">.  </w:t>
      </w:r>
      <w:r w:rsidR="00590CA9" w:rsidRPr="00FE3786">
        <w:rPr>
          <w:sz w:val="24"/>
          <w:szCs w:val="24"/>
        </w:rPr>
        <w:t xml:space="preserve">Insurance services of the company </w:t>
      </w:r>
      <w:r w:rsidR="005954D5" w:rsidRPr="00FE3786">
        <w:rPr>
          <w:sz w:val="24"/>
          <w:szCs w:val="24"/>
        </w:rPr>
        <w:t>can be classified into following products:</w:t>
      </w:r>
    </w:p>
    <w:p w:rsidR="005954D5" w:rsidRPr="00FE3786" w:rsidRDefault="005954D5" w:rsidP="007A33FF">
      <w:pPr>
        <w:pStyle w:val="NoSpacing"/>
        <w:jc w:val="both"/>
        <w:rPr>
          <w:sz w:val="24"/>
          <w:szCs w:val="24"/>
        </w:rPr>
      </w:pPr>
    </w:p>
    <w:p w:rsidR="00CE14E8" w:rsidRPr="00FE3786" w:rsidRDefault="00B10D98" w:rsidP="00E027F3">
      <w:pPr>
        <w:pStyle w:val="NoSpacing"/>
        <w:numPr>
          <w:ilvl w:val="0"/>
          <w:numId w:val="8"/>
        </w:numPr>
        <w:jc w:val="both"/>
        <w:rPr>
          <w:sz w:val="24"/>
          <w:szCs w:val="24"/>
        </w:rPr>
      </w:pPr>
      <w:r w:rsidRPr="00FE3786">
        <w:rPr>
          <w:sz w:val="24"/>
          <w:szCs w:val="24"/>
        </w:rPr>
        <w:t>Fire property.</w:t>
      </w:r>
    </w:p>
    <w:p w:rsidR="00B10D98" w:rsidRPr="00FE3786" w:rsidRDefault="00B10D98" w:rsidP="00E027F3">
      <w:pPr>
        <w:pStyle w:val="NoSpacing"/>
        <w:numPr>
          <w:ilvl w:val="0"/>
          <w:numId w:val="8"/>
        </w:numPr>
        <w:jc w:val="both"/>
        <w:rPr>
          <w:sz w:val="24"/>
          <w:szCs w:val="24"/>
        </w:rPr>
      </w:pPr>
      <w:r w:rsidRPr="00FE3786">
        <w:rPr>
          <w:sz w:val="24"/>
          <w:szCs w:val="24"/>
        </w:rPr>
        <w:t xml:space="preserve">Travel insurance </w:t>
      </w:r>
    </w:p>
    <w:p w:rsidR="00B10D98" w:rsidRPr="00FE3786" w:rsidRDefault="00B10D98" w:rsidP="00E027F3">
      <w:pPr>
        <w:pStyle w:val="NoSpacing"/>
        <w:numPr>
          <w:ilvl w:val="0"/>
          <w:numId w:val="8"/>
        </w:numPr>
        <w:jc w:val="both"/>
        <w:rPr>
          <w:sz w:val="24"/>
          <w:szCs w:val="24"/>
        </w:rPr>
      </w:pPr>
      <w:r w:rsidRPr="00FE3786">
        <w:rPr>
          <w:sz w:val="24"/>
          <w:szCs w:val="24"/>
        </w:rPr>
        <w:t xml:space="preserve">Employer’s liability </w:t>
      </w:r>
    </w:p>
    <w:p w:rsidR="00B10D98" w:rsidRPr="00FE3786" w:rsidRDefault="00B10D98" w:rsidP="00E027F3">
      <w:pPr>
        <w:pStyle w:val="NoSpacing"/>
        <w:numPr>
          <w:ilvl w:val="0"/>
          <w:numId w:val="8"/>
        </w:numPr>
        <w:jc w:val="both"/>
        <w:rPr>
          <w:sz w:val="24"/>
          <w:szCs w:val="24"/>
        </w:rPr>
      </w:pPr>
      <w:r w:rsidRPr="00FE3786">
        <w:rPr>
          <w:sz w:val="24"/>
          <w:szCs w:val="24"/>
        </w:rPr>
        <w:t>Others</w:t>
      </w:r>
    </w:p>
    <w:p w:rsidR="005954D5" w:rsidRPr="00FE3786" w:rsidRDefault="005954D5" w:rsidP="005954D5">
      <w:pPr>
        <w:pStyle w:val="NoSpacing"/>
        <w:jc w:val="both"/>
        <w:rPr>
          <w:sz w:val="24"/>
          <w:szCs w:val="24"/>
        </w:rPr>
      </w:pPr>
    </w:p>
    <w:p w:rsidR="00F44BAC" w:rsidRPr="00FE3786" w:rsidRDefault="00535883" w:rsidP="00535883">
      <w:pPr>
        <w:pStyle w:val="NoSpacing"/>
        <w:jc w:val="both"/>
        <w:rPr>
          <w:rFonts w:cstheme="minorHAnsi"/>
          <w:sz w:val="24"/>
          <w:szCs w:val="24"/>
        </w:rPr>
      </w:pPr>
      <w:r>
        <w:rPr>
          <w:rFonts w:cstheme="minorHAnsi"/>
          <w:sz w:val="24"/>
          <w:szCs w:val="24"/>
        </w:rPr>
        <w:t>T</w:t>
      </w:r>
      <w:r w:rsidR="005954D5" w:rsidRPr="00FE3786">
        <w:rPr>
          <w:rFonts w:cstheme="minorHAnsi"/>
          <w:sz w:val="24"/>
          <w:szCs w:val="24"/>
        </w:rPr>
        <w:t xml:space="preserve">he Company started its operations in </w:t>
      </w:r>
      <w:r>
        <w:rPr>
          <w:rFonts w:cstheme="minorHAnsi"/>
          <w:sz w:val="24"/>
          <w:szCs w:val="24"/>
        </w:rPr>
        <w:t xml:space="preserve">only in </w:t>
      </w:r>
      <w:r w:rsidR="005954D5" w:rsidRPr="00FE3786">
        <w:rPr>
          <w:rFonts w:cstheme="minorHAnsi"/>
          <w:sz w:val="24"/>
          <w:szCs w:val="24"/>
        </w:rPr>
        <w:t xml:space="preserve">late 2018. </w:t>
      </w:r>
    </w:p>
    <w:p w:rsidR="00F44BAC" w:rsidRPr="003357A5" w:rsidRDefault="00F44BAC" w:rsidP="007D3138">
      <w:pPr>
        <w:spacing w:line="360" w:lineRule="auto"/>
        <w:rPr>
          <w:rFonts w:asciiTheme="majorBidi" w:hAnsiTheme="majorBidi" w:cstheme="majorBidi"/>
          <w:b/>
          <w:bCs/>
        </w:rPr>
      </w:pPr>
    </w:p>
    <w:p w:rsidR="00FC373C" w:rsidRPr="003357A5" w:rsidRDefault="00FC373C" w:rsidP="007D3138">
      <w:pPr>
        <w:spacing w:line="360" w:lineRule="auto"/>
        <w:rPr>
          <w:rFonts w:asciiTheme="majorBidi" w:hAnsiTheme="majorBidi" w:cstheme="majorBidi"/>
        </w:rPr>
      </w:pPr>
    </w:p>
    <w:p w:rsidR="0015740B" w:rsidRDefault="0015740B">
      <w:pPr>
        <w:rPr>
          <w:rFonts w:asciiTheme="majorBidi" w:eastAsiaTheme="majorEastAsia" w:hAnsiTheme="majorBidi" w:cstheme="majorBidi"/>
          <w:b/>
          <w:bCs/>
          <w:sz w:val="26"/>
          <w:szCs w:val="26"/>
        </w:rPr>
      </w:pPr>
      <w:r>
        <w:rPr>
          <w:rFonts w:asciiTheme="majorBidi" w:hAnsiTheme="majorBidi"/>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0B7FE4" w:rsidTr="000B7FE4">
        <w:tc>
          <w:tcPr>
            <w:tcW w:w="4680" w:type="dxa"/>
            <w:vAlign w:val="bottom"/>
          </w:tcPr>
          <w:p w:rsidR="000B7FE4" w:rsidRDefault="000B7FE4" w:rsidP="000B7FE4">
            <w:pPr>
              <w:pStyle w:val="NoSpacing"/>
            </w:pPr>
          </w:p>
        </w:tc>
        <w:tc>
          <w:tcPr>
            <w:tcW w:w="4680" w:type="dxa"/>
          </w:tcPr>
          <w:p w:rsidR="000B7FE4" w:rsidRDefault="000B7FE4" w:rsidP="000B7FE4">
            <w:pPr>
              <w:pStyle w:val="NoSpacing"/>
            </w:pPr>
          </w:p>
        </w:tc>
      </w:tr>
    </w:tbl>
    <w:p w:rsidR="002A60B7" w:rsidRDefault="003D0442" w:rsidP="000B7FE4">
      <w:pPr>
        <w:pStyle w:val="Heading2"/>
        <w:spacing w:line="259" w:lineRule="auto"/>
        <w:jc w:val="right"/>
      </w:pPr>
      <w:bookmarkStart w:id="17" w:name="_Toc43808710"/>
      <w:r>
        <w:rPr>
          <w:noProof/>
          <w:lang w:val="en-US" w:eastAsia="en-US"/>
        </w:rPr>
        <w:drawing>
          <wp:anchor distT="0" distB="0" distL="114300" distR="114300" simplePos="0" relativeHeight="251661824" behindDoc="0" locked="0" layoutInCell="1" allowOverlap="1" wp14:anchorId="55053B29" wp14:editId="6BB1F931">
            <wp:simplePos x="0" y="0"/>
            <wp:positionH relativeFrom="margin">
              <wp:posOffset>4572000</wp:posOffset>
            </wp:positionH>
            <wp:positionV relativeFrom="paragraph">
              <wp:posOffset>-637540</wp:posOffset>
            </wp:positionV>
            <wp:extent cx="1371600" cy="11525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7"/>
    </w:p>
    <w:p w:rsidR="001F24AA" w:rsidRDefault="001F24AA" w:rsidP="001F24AA">
      <w:pPr>
        <w:pStyle w:val="Heading2"/>
      </w:pPr>
      <w:bookmarkStart w:id="18" w:name="_Toc43808711"/>
      <w:r>
        <w:t>3</w:t>
      </w:r>
      <w:r w:rsidRPr="00383974">
        <w:t>.6</w:t>
      </w:r>
      <w:r w:rsidRPr="00383974">
        <w:tab/>
      </w:r>
      <w:r>
        <w:t>Mel</w:t>
      </w:r>
      <w:r w:rsidRPr="00383974">
        <w:t>lat Insurance</w:t>
      </w:r>
      <w:bookmarkEnd w:id="18"/>
    </w:p>
    <w:p w:rsidR="001F24AA" w:rsidRPr="001F24AA" w:rsidRDefault="001F24AA" w:rsidP="001F24AA"/>
    <w:p w:rsidR="006A3765" w:rsidRDefault="003D0442" w:rsidP="007A33FF">
      <w:pPr>
        <w:pStyle w:val="NoSpacing"/>
        <w:jc w:val="both"/>
        <w:rPr>
          <w:rFonts w:cstheme="majorBidi"/>
          <w:sz w:val="24"/>
          <w:szCs w:val="24"/>
        </w:rPr>
      </w:pPr>
      <w:r>
        <w:rPr>
          <w:b/>
          <w:noProof/>
        </w:rPr>
        <w:drawing>
          <wp:anchor distT="0" distB="0" distL="114300" distR="114300" simplePos="0" relativeHeight="251660800" behindDoc="0" locked="0" layoutInCell="1" allowOverlap="1" wp14:anchorId="39229FFB" wp14:editId="11AD54D7">
            <wp:simplePos x="0" y="0"/>
            <wp:positionH relativeFrom="margin">
              <wp:align>right</wp:align>
            </wp:positionH>
            <wp:positionV relativeFrom="paragraph">
              <wp:posOffset>723900</wp:posOffset>
            </wp:positionV>
            <wp:extent cx="1135478" cy="1158340"/>
            <wp:effectExtent l="0" t="0" r="762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i.png"/>
                    <pic:cNvPicPr/>
                  </pic:nvPicPr>
                  <pic:blipFill>
                    <a:blip r:embed="rId23">
                      <a:extLst>
                        <a:ext uri="{28A0092B-C50C-407E-A947-70E740481C1C}">
                          <a14:useLocalDpi xmlns:a14="http://schemas.microsoft.com/office/drawing/2010/main" val="0"/>
                        </a:ext>
                      </a:extLst>
                    </a:blip>
                    <a:stretch>
                      <a:fillRect/>
                    </a:stretch>
                  </pic:blipFill>
                  <pic:spPr>
                    <a:xfrm>
                      <a:off x="0" y="0"/>
                      <a:ext cx="1135478" cy="1158340"/>
                    </a:xfrm>
                    <a:prstGeom prst="rect">
                      <a:avLst/>
                    </a:prstGeom>
                  </pic:spPr>
                </pic:pic>
              </a:graphicData>
            </a:graphic>
            <wp14:sizeRelH relativeFrom="margin">
              <wp14:pctWidth>0</wp14:pctWidth>
            </wp14:sizeRelH>
            <wp14:sizeRelV relativeFrom="margin">
              <wp14:pctHeight>0</wp14:pctHeight>
            </wp14:sizeRelV>
          </wp:anchor>
        </w:drawing>
      </w:r>
      <w:r w:rsidR="00AC0E95" w:rsidRPr="003357A5">
        <w:rPr>
          <w:rFonts w:cstheme="majorBidi"/>
          <w:sz w:val="24"/>
          <w:szCs w:val="24"/>
        </w:rPr>
        <w:t xml:space="preserve">Mellat Insurance Company (Afghan Representative) has been registered with </w:t>
      </w:r>
      <w:r w:rsidR="00AC3DFA">
        <w:rPr>
          <w:rFonts w:cstheme="majorBidi"/>
          <w:sz w:val="24"/>
          <w:szCs w:val="24"/>
        </w:rPr>
        <w:t xml:space="preserve">GDIA since November </w:t>
      </w:r>
      <w:r w:rsidR="00AC0E95" w:rsidRPr="003357A5">
        <w:rPr>
          <w:rFonts w:cstheme="majorBidi"/>
          <w:sz w:val="24"/>
          <w:szCs w:val="24"/>
        </w:rPr>
        <w:t>2016</w:t>
      </w:r>
      <w:r w:rsidR="00AC3DFA">
        <w:rPr>
          <w:rFonts w:cstheme="majorBidi"/>
          <w:sz w:val="24"/>
          <w:szCs w:val="24"/>
        </w:rPr>
        <w:t xml:space="preserve">.  </w:t>
      </w:r>
      <w:r w:rsidR="00AC0E95" w:rsidRPr="003357A5">
        <w:rPr>
          <w:rFonts w:cstheme="majorBidi"/>
          <w:sz w:val="24"/>
          <w:szCs w:val="24"/>
        </w:rPr>
        <w:t>The company has a representative office for travel insurance services in 4 provinces including Kabul, Nangarhar (Jalalabad), Balkh (Mazar-e Sharif), Herat (Herat Center), and Kandahar (Kandahar Center).</w:t>
      </w:r>
    </w:p>
    <w:p w:rsidR="003D0442" w:rsidRPr="003357A5" w:rsidRDefault="003D0442" w:rsidP="007A33FF">
      <w:pPr>
        <w:pStyle w:val="NoSpacing"/>
        <w:jc w:val="both"/>
        <w:rPr>
          <w:rFonts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9"/>
        <w:gridCol w:w="2231"/>
      </w:tblGrid>
      <w:tr w:rsidR="003A39E6" w:rsidTr="000B7FE4">
        <w:tc>
          <w:tcPr>
            <w:tcW w:w="7129" w:type="dxa"/>
            <w:vAlign w:val="bottom"/>
          </w:tcPr>
          <w:p w:rsidR="003A39E6" w:rsidRDefault="00535883" w:rsidP="001F24AA">
            <w:pPr>
              <w:pStyle w:val="NoSpacing"/>
            </w:pPr>
            <w:r>
              <w:rPr>
                <w:rFonts w:asciiTheme="majorHAnsi" w:eastAsiaTheme="majorEastAsia" w:hAnsiTheme="majorHAnsi" w:cstheme="majorBidi"/>
                <w:color w:val="365F91" w:themeColor="accent1" w:themeShade="BF"/>
                <w:sz w:val="26"/>
                <w:szCs w:val="26"/>
              </w:rPr>
              <w:br w:type="page"/>
            </w:r>
          </w:p>
        </w:tc>
        <w:tc>
          <w:tcPr>
            <w:tcW w:w="2231" w:type="dxa"/>
            <w:vAlign w:val="bottom"/>
          </w:tcPr>
          <w:p w:rsidR="003A39E6" w:rsidRPr="003A39E6" w:rsidRDefault="003A39E6" w:rsidP="001F24AA">
            <w:pPr>
              <w:pStyle w:val="NoSpacing"/>
              <w:rPr>
                <w:b/>
              </w:rPr>
            </w:pPr>
          </w:p>
        </w:tc>
      </w:tr>
    </w:tbl>
    <w:p w:rsidR="001F24AA" w:rsidRDefault="001F24AA" w:rsidP="003D0442">
      <w:pPr>
        <w:pStyle w:val="Heading2"/>
        <w:spacing w:line="259" w:lineRule="auto"/>
      </w:pPr>
      <w:bookmarkStart w:id="19" w:name="_Toc43808712"/>
      <w:r>
        <w:t>3</w:t>
      </w:r>
      <w:r w:rsidRPr="00383974">
        <w:t>.7</w:t>
      </w:r>
      <w:r w:rsidRPr="00383974">
        <w:tab/>
        <w:t>Razi Insurance</w:t>
      </w:r>
      <w:bookmarkEnd w:id="19"/>
    </w:p>
    <w:p w:rsidR="001F24AA" w:rsidRPr="001F24AA" w:rsidRDefault="001F24AA" w:rsidP="001F24AA"/>
    <w:p w:rsidR="003D0442" w:rsidRDefault="003D0442" w:rsidP="007A33FF">
      <w:pPr>
        <w:pStyle w:val="NoSpacing"/>
        <w:jc w:val="both"/>
        <w:rPr>
          <w:rFonts w:cstheme="majorBidi"/>
          <w:sz w:val="24"/>
          <w:szCs w:val="24"/>
        </w:rPr>
      </w:pPr>
    </w:p>
    <w:p w:rsidR="003D0442" w:rsidRDefault="003D0442" w:rsidP="007A33FF">
      <w:pPr>
        <w:pStyle w:val="NoSpacing"/>
        <w:jc w:val="both"/>
        <w:rPr>
          <w:rFonts w:cstheme="majorBidi"/>
          <w:sz w:val="24"/>
          <w:szCs w:val="24"/>
        </w:rPr>
      </w:pPr>
    </w:p>
    <w:p w:rsidR="00062D95" w:rsidRPr="003357A5" w:rsidRDefault="00062D95" w:rsidP="007A33FF">
      <w:pPr>
        <w:pStyle w:val="NoSpacing"/>
        <w:jc w:val="both"/>
        <w:rPr>
          <w:rFonts w:cstheme="majorBidi"/>
        </w:rPr>
      </w:pPr>
      <w:r w:rsidRPr="003357A5">
        <w:rPr>
          <w:rFonts w:cstheme="majorBidi"/>
          <w:sz w:val="24"/>
          <w:szCs w:val="24"/>
        </w:rPr>
        <w:t xml:space="preserve">Razi Insurance Company (Afghan Representative) has been registered with </w:t>
      </w:r>
      <w:r w:rsidR="00AC3DFA">
        <w:rPr>
          <w:rFonts w:cstheme="majorBidi"/>
          <w:sz w:val="24"/>
          <w:szCs w:val="24"/>
        </w:rPr>
        <w:t xml:space="preserve">GDIA since January </w:t>
      </w:r>
      <w:r w:rsidRPr="003357A5">
        <w:rPr>
          <w:rFonts w:cstheme="majorBidi"/>
          <w:sz w:val="24"/>
          <w:szCs w:val="24"/>
        </w:rPr>
        <w:t>2017</w:t>
      </w:r>
      <w:r w:rsidR="00AC3DFA">
        <w:rPr>
          <w:rFonts w:cstheme="majorBidi"/>
          <w:sz w:val="24"/>
          <w:szCs w:val="24"/>
        </w:rPr>
        <w:t>.  The C</w:t>
      </w:r>
      <w:r w:rsidRPr="003357A5">
        <w:rPr>
          <w:rFonts w:cstheme="majorBidi"/>
          <w:sz w:val="24"/>
          <w:szCs w:val="24"/>
        </w:rPr>
        <w:t>ompany has a representative office for travel insurance services in 5 provinces including Kabul, Nangarhar (Jalalabad), Balkh (Mazar-e Sharif), Herat (Herat Center), Kandahar (Kandahar Center).</w:t>
      </w:r>
      <w:r w:rsidR="00AC3DFA">
        <w:rPr>
          <w:rFonts w:cstheme="majorBidi"/>
          <w:sz w:val="24"/>
          <w:szCs w:val="24"/>
        </w:rPr>
        <w:t xml:space="preserve">  The Company </w:t>
      </w:r>
      <w:r w:rsidRPr="003357A5">
        <w:rPr>
          <w:rFonts w:cstheme="majorBidi"/>
          <w:sz w:val="24"/>
          <w:szCs w:val="24"/>
        </w:rPr>
        <w:t>offers travel insurance services to improve the travel of citizens. Passengers traveling to the neighboring countries such as Iran can benefit from this coverage by purchasing a travel insurance policy.</w:t>
      </w:r>
    </w:p>
    <w:p w:rsidR="00101DB9" w:rsidRDefault="00101DB9" w:rsidP="007A33FF">
      <w:pPr>
        <w:pStyle w:val="NoSpacing"/>
        <w:jc w:val="both"/>
        <w:rPr>
          <w:rFonts w:cstheme="majorBidi"/>
        </w:rPr>
      </w:pPr>
    </w:p>
    <w:p w:rsidR="00DF18A5" w:rsidRDefault="00DF18A5">
      <w:pPr>
        <w:spacing w:after="160" w:line="259" w:lineRule="auto"/>
        <w:rPr>
          <w:rFonts w:asciiTheme="majorHAnsi" w:eastAsia="Calibri" w:hAnsiTheme="majorHAnsi" w:cstheme="majorBidi"/>
          <w:color w:val="365F91" w:themeColor="accent1" w:themeShade="BF"/>
          <w:sz w:val="32"/>
          <w:szCs w:val="32"/>
        </w:rPr>
      </w:pPr>
      <w:r>
        <w:rPr>
          <w:rFonts w:eastAsia="Calibri"/>
        </w:rPr>
        <w:br w:type="page"/>
      </w:r>
    </w:p>
    <w:p w:rsidR="004A3922" w:rsidRDefault="00AE0E4D" w:rsidP="004A3922">
      <w:pPr>
        <w:pStyle w:val="Heading1"/>
        <w:rPr>
          <w:rFonts w:eastAsia="Calibri"/>
        </w:rPr>
      </w:pPr>
      <w:bookmarkStart w:id="20" w:name="_Toc43808713"/>
      <w:r>
        <w:rPr>
          <w:rFonts w:eastAsia="Calibri"/>
        </w:rPr>
        <w:lastRenderedPageBreak/>
        <w:t>Section 4</w:t>
      </w:r>
      <w:r w:rsidR="004A3922">
        <w:rPr>
          <w:rFonts w:eastAsia="Calibri"/>
        </w:rPr>
        <w:t>: Development Initiatives</w:t>
      </w:r>
      <w:bookmarkEnd w:id="20"/>
    </w:p>
    <w:p w:rsidR="004A3922" w:rsidRPr="00820E71" w:rsidRDefault="004A3922" w:rsidP="002639AE">
      <w:pPr>
        <w:pStyle w:val="Heading2"/>
        <w:rPr>
          <w:rFonts w:eastAsia="Calibri"/>
          <w:sz w:val="18"/>
          <w:szCs w:val="18"/>
          <w:rtl/>
        </w:rPr>
      </w:pPr>
    </w:p>
    <w:p w:rsidR="002639AE" w:rsidRDefault="00AE0E4D" w:rsidP="002639AE">
      <w:pPr>
        <w:pStyle w:val="Heading2"/>
        <w:rPr>
          <w:rFonts w:eastAsia="Calibri"/>
        </w:rPr>
      </w:pPr>
      <w:bookmarkStart w:id="21" w:name="_Toc43808714"/>
      <w:r>
        <w:rPr>
          <w:rFonts w:eastAsia="Calibri"/>
        </w:rPr>
        <w:t>4</w:t>
      </w:r>
      <w:r w:rsidR="004A3922">
        <w:rPr>
          <w:rFonts w:eastAsia="Calibri"/>
        </w:rPr>
        <w:t>.1</w:t>
      </w:r>
      <w:r w:rsidR="004A3922">
        <w:rPr>
          <w:rFonts w:eastAsia="Calibri"/>
        </w:rPr>
        <w:tab/>
      </w:r>
      <w:r w:rsidR="002639AE">
        <w:rPr>
          <w:rFonts w:eastAsia="Calibri"/>
        </w:rPr>
        <w:t>Primary laws and legislation</w:t>
      </w:r>
      <w:bookmarkEnd w:id="21"/>
    </w:p>
    <w:p w:rsidR="002639AE" w:rsidRDefault="002639AE" w:rsidP="002639AE">
      <w:pPr>
        <w:pStyle w:val="NoSpacing"/>
        <w:jc w:val="both"/>
        <w:rPr>
          <w:rFonts w:eastAsia="Calibri"/>
          <w:b/>
          <w:bCs/>
          <w:sz w:val="24"/>
          <w:szCs w:val="24"/>
        </w:rPr>
      </w:pPr>
    </w:p>
    <w:p w:rsidR="00B00F4D" w:rsidRPr="009C6685" w:rsidRDefault="00A53CE0" w:rsidP="003D0442">
      <w:pPr>
        <w:pStyle w:val="NoSpacing"/>
        <w:jc w:val="both"/>
        <w:rPr>
          <w:sz w:val="24"/>
          <w:szCs w:val="24"/>
        </w:rPr>
      </w:pPr>
      <w:r>
        <w:rPr>
          <w:rFonts w:eastAsia="Calibri"/>
          <w:bCs/>
          <w:sz w:val="24"/>
          <w:szCs w:val="24"/>
        </w:rPr>
        <w:t xml:space="preserve">Recently, the GDIA has </w:t>
      </w:r>
      <w:r w:rsidR="002639AE" w:rsidRPr="002639AE">
        <w:rPr>
          <w:rFonts w:eastAsia="Calibri"/>
          <w:bCs/>
          <w:sz w:val="24"/>
          <w:szCs w:val="24"/>
        </w:rPr>
        <w:t>taken certain important measures for s</w:t>
      </w:r>
      <w:r w:rsidR="00B00F4D" w:rsidRPr="002639AE">
        <w:rPr>
          <w:rFonts w:eastAsia="Calibri"/>
          <w:bCs/>
          <w:sz w:val="24"/>
          <w:szCs w:val="24"/>
        </w:rPr>
        <w:t>trengthening</w:t>
      </w:r>
      <w:r w:rsidR="002639AE" w:rsidRPr="002639AE">
        <w:rPr>
          <w:rFonts w:eastAsia="Calibri"/>
          <w:bCs/>
          <w:sz w:val="24"/>
          <w:szCs w:val="24"/>
        </w:rPr>
        <w:t xml:space="preserve"> and </w:t>
      </w:r>
      <w:r w:rsidR="00B00F4D" w:rsidRPr="002639AE">
        <w:rPr>
          <w:rFonts w:eastAsia="Calibri"/>
          <w:bCs/>
          <w:sz w:val="24"/>
          <w:szCs w:val="24"/>
        </w:rPr>
        <w:t>up</w:t>
      </w:r>
      <w:r w:rsidR="002639AE" w:rsidRPr="002639AE">
        <w:rPr>
          <w:rFonts w:eastAsia="Calibri"/>
          <w:bCs/>
          <w:sz w:val="24"/>
          <w:szCs w:val="24"/>
        </w:rPr>
        <w:t xml:space="preserve">grading of the </w:t>
      </w:r>
      <w:r w:rsidR="00B00F4D" w:rsidRPr="002639AE">
        <w:rPr>
          <w:rFonts w:eastAsia="Calibri"/>
          <w:bCs/>
          <w:sz w:val="24"/>
          <w:szCs w:val="24"/>
        </w:rPr>
        <w:t xml:space="preserve">legal framework for </w:t>
      </w:r>
      <w:r w:rsidR="002639AE" w:rsidRPr="002639AE">
        <w:rPr>
          <w:rFonts w:eastAsia="Calibri"/>
          <w:bCs/>
          <w:sz w:val="24"/>
          <w:szCs w:val="24"/>
        </w:rPr>
        <w:t xml:space="preserve">insurance </w:t>
      </w:r>
      <w:r w:rsidR="00B00F4D" w:rsidRPr="002639AE">
        <w:rPr>
          <w:rFonts w:eastAsia="Calibri"/>
          <w:bCs/>
          <w:sz w:val="24"/>
          <w:szCs w:val="24"/>
        </w:rPr>
        <w:t>industry</w:t>
      </w:r>
      <w:r w:rsidR="002639AE" w:rsidRPr="002639AE">
        <w:rPr>
          <w:rFonts w:eastAsia="Calibri"/>
          <w:bCs/>
          <w:sz w:val="24"/>
          <w:szCs w:val="24"/>
          <w:lang w:val="en-AU"/>
        </w:rPr>
        <w:t xml:space="preserve"> in Afghanistan.  The review of the </w:t>
      </w:r>
      <w:r w:rsidR="00B00F4D" w:rsidRPr="002639AE">
        <w:rPr>
          <w:rFonts w:eastAsia="Calibri"/>
          <w:sz w:val="24"/>
          <w:szCs w:val="24"/>
          <w:lang w:bidi="fa-IR"/>
        </w:rPr>
        <w:t xml:space="preserve">draft new insurance law </w:t>
      </w:r>
      <w:r w:rsidR="002639AE" w:rsidRPr="002639AE">
        <w:rPr>
          <w:rFonts w:eastAsia="Calibri"/>
          <w:sz w:val="24"/>
          <w:szCs w:val="24"/>
          <w:lang w:bidi="fa-IR"/>
        </w:rPr>
        <w:t xml:space="preserve">has been carried out jointly with the </w:t>
      </w:r>
      <w:r w:rsidR="002639AE" w:rsidRPr="002639AE">
        <w:rPr>
          <w:sz w:val="24"/>
          <w:szCs w:val="24"/>
        </w:rPr>
        <w:t xml:space="preserve">Ministry of Justice. </w:t>
      </w:r>
      <w:r w:rsidR="009C6685">
        <w:rPr>
          <w:sz w:val="24"/>
          <w:szCs w:val="24"/>
        </w:rPr>
        <w:t xml:space="preserve">For </w:t>
      </w:r>
      <w:r w:rsidR="002E42E8">
        <w:rPr>
          <w:sz w:val="24"/>
          <w:szCs w:val="24"/>
        </w:rPr>
        <w:t>consultation</w:t>
      </w:r>
      <w:r w:rsidR="009C6685">
        <w:rPr>
          <w:sz w:val="24"/>
          <w:szCs w:val="24"/>
        </w:rPr>
        <w:t xml:space="preserve"> </w:t>
      </w:r>
      <w:r w:rsidR="002E42E8">
        <w:rPr>
          <w:sz w:val="24"/>
          <w:szCs w:val="24"/>
        </w:rPr>
        <w:t xml:space="preserve">purpose, </w:t>
      </w:r>
      <w:r w:rsidR="009C6685">
        <w:rPr>
          <w:sz w:val="24"/>
          <w:szCs w:val="24"/>
        </w:rPr>
        <w:t xml:space="preserve">and to </w:t>
      </w:r>
      <w:r w:rsidR="002E42E8">
        <w:rPr>
          <w:sz w:val="24"/>
          <w:szCs w:val="24"/>
        </w:rPr>
        <w:t xml:space="preserve">ensure everyone is on the same page with GDIA </w:t>
      </w:r>
      <w:r w:rsidR="003D0442">
        <w:rPr>
          <w:sz w:val="24"/>
          <w:szCs w:val="24"/>
        </w:rPr>
        <w:t>for</w:t>
      </w:r>
      <w:r w:rsidR="002E42E8">
        <w:rPr>
          <w:sz w:val="24"/>
          <w:szCs w:val="24"/>
        </w:rPr>
        <w:t xml:space="preserve"> the developed documents</w:t>
      </w:r>
      <w:r w:rsidR="003D0442">
        <w:rPr>
          <w:sz w:val="24"/>
          <w:szCs w:val="24"/>
        </w:rPr>
        <w:t>, moreover</w:t>
      </w:r>
      <w:r w:rsidR="002E42E8">
        <w:rPr>
          <w:sz w:val="24"/>
          <w:szCs w:val="24"/>
        </w:rPr>
        <w:t xml:space="preserve"> </w:t>
      </w:r>
      <w:r w:rsidR="009C6685">
        <w:rPr>
          <w:sz w:val="24"/>
          <w:szCs w:val="24"/>
        </w:rPr>
        <w:t>get feedback</w:t>
      </w:r>
      <w:r w:rsidR="002E42E8">
        <w:rPr>
          <w:sz w:val="24"/>
          <w:szCs w:val="24"/>
        </w:rPr>
        <w:t xml:space="preserve"> on the laws and regulations</w:t>
      </w:r>
      <w:r w:rsidR="009C6685">
        <w:rPr>
          <w:sz w:val="24"/>
          <w:szCs w:val="24"/>
        </w:rPr>
        <w:t>, a joint stakeholders’ workshop</w:t>
      </w:r>
      <w:r w:rsidR="002639AE" w:rsidRPr="002639AE">
        <w:rPr>
          <w:sz w:val="24"/>
          <w:szCs w:val="24"/>
        </w:rPr>
        <w:t xml:space="preserve"> </w:t>
      </w:r>
      <w:r w:rsidR="009C6685">
        <w:rPr>
          <w:sz w:val="24"/>
          <w:szCs w:val="24"/>
        </w:rPr>
        <w:t>was organized</w:t>
      </w:r>
      <w:r w:rsidR="002E42E8">
        <w:rPr>
          <w:sz w:val="24"/>
          <w:szCs w:val="24"/>
        </w:rPr>
        <w:t xml:space="preserve"> and the documents, new amended insurance law and related regulations along with</w:t>
      </w:r>
      <w:r w:rsidR="002639AE" w:rsidRPr="002639AE">
        <w:rPr>
          <w:sz w:val="24"/>
          <w:szCs w:val="24"/>
        </w:rPr>
        <w:t xml:space="preserve"> t</w:t>
      </w:r>
      <w:r w:rsidR="00B00F4D" w:rsidRPr="002639AE">
        <w:rPr>
          <w:rFonts w:eastAsia="Calibri"/>
          <w:sz w:val="24"/>
          <w:szCs w:val="24"/>
          <w:lang w:bidi="fa-IR"/>
        </w:rPr>
        <w:t xml:space="preserve">he draft </w:t>
      </w:r>
      <w:r w:rsidR="002E42E8">
        <w:rPr>
          <w:rFonts w:eastAsia="Calibri"/>
          <w:sz w:val="24"/>
          <w:szCs w:val="24"/>
          <w:lang w:bidi="fa-IR"/>
        </w:rPr>
        <w:t xml:space="preserve">of </w:t>
      </w:r>
      <w:r w:rsidR="00F96E72" w:rsidRPr="002639AE">
        <w:rPr>
          <w:rFonts w:eastAsia="Calibri"/>
          <w:sz w:val="24"/>
          <w:szCs w:val="24"/>
          <w:lang w:bidi="fa-IR"/>
        </w:rPr>
        <w:t>T</w:t>
      </w:r>
      <w:r w:rsidR="00B00F4D" w:rsidRPr="002639AE">
        <w:rPr>
          <w:rFonts w:eastAsia="Calibri"/>
          <w:sz w:val="24"/>
          <w:szCs w:val="24"/>
          <w:lang w:bidi="fa-IR"/>
        </w:rPr>
        <w:t>akaful</w:t>
      </w:r>
      <w:r w:rsidR="003D0442">
        <w:rPr>
          <w:rFonts w:eastAsia="Calibri"/>
          <w:sz w:val="24"/>
          <w:szCs w:val="24"/>
          <w:lang w:bidi="fa-IR"/>
        </w:rPr>
        <w:t xml:space="preserve"> assessed and reviewed</w:t>
      </w:r>
      <w:r w:rsidR="002E42E8">
        <w:rPr>
          <w:rFonts w:eastAsia="Calibri"/>
          <w:sz w:val="24"/>
          <w:szCs w:val="24"/>
          <w:lang w:bidi="fa-IR"/>
        </w:rPr>
        <w:t>.</w:t>
      </w:r>
      <w:r w:rsidR="00B00F4D" w:rsidRPr="002639AE">
        <w:rPr>
          <w:rFonts w:eastAsia="Calibri"/>
          <w:sz w:val="24"/>
          <w:szCs w:val="24"/>
          <w:lang w:bidi="fa-IR"/>
        </w:rPr>
        <w:t xml:space="preserve"> </w:t>
      </w:r>
      <w:r w:rsidR="002E42E8">
        <w:rPr>
          <w:rFonts w:eastAsia="Calibri"/>
          <w:sz w:val="24"/>
          <w:szCs w:val="24"/>
          <w:lang w:bidi="fa-IR"/>
        </w:rPr>
        <w:t>Rationales for proposed changes broadly discussed</w:t>
      </w:r>
      <w:r w:rsidR="003D0442">
        <w:rPr>
          <w:rFonts w:eastAsia="Calibri"/>
          <w:sz w:val="24"/>
          <w:szCs w:val="24"/>
          <w:lang w:bidi="fa-IR"/>
        </w:rPr>
        <w:t xml:space="preserve"> for enrichment of the laws and regulations.</w:t>
      </w:r>
    </w:p>
    <w:p w:rsidR="007F6C59" w:rsidRPr="00820E71" w:rsidRDefault="007F6C59" w:rsidP="007A33FF">
      <w:pPr>
        <w:pStyle w:val="NoSpacing"/>
        <w:jc w:val="both"/>
        <w:rPr>
          <w:rFonts w:eastAsia="Calibri"/>
          <w:b/>
          <w:bCs/>
          <w:sz w:val="12"/>
          <w:szCs w:val="12"/>
          <w:lang w:bidi="fa-IR"/>
        </w:rPr>
      </w:pPr>
    </w:p>
    <w:p w:rsidR="002639AE" w:rsidRDefault="00AE0E4D" w:rsidP="002639AE">
      <w:pPr>
        <w:pStyle w:val="Heading2"/>
        <w:rPr>
          <w:rFonts w:eastAsia="Calibri"/>
          <w:lang w:bidi="fa-IR"/>
        </w:rPr>
      </w:pPr>
      <w:bookmarkStart w:id="22" w:name="_Toc43808715"/>
      <w:r>
        <w:rPr>
          <w:rFonts w:eastAsia="Calibri"/>
          <w:lang w:bidi="fa-IR"/>
        </w:rPr>
        <w:t>4</w:t>
      </w:r>
      <w:r w:rsidR="004A3922">
        <w:rPr>
          <w:rFonts w:eastAsia="Calibri"/>
          <w:lang w:bidi="fa-IR"/>
        </w:rPr>
        <w:t>.2</w:t>
      </w:r>
      <w:r w:rsidR="004A3922">
        <w:rPr>
          <w:rFonts w:eastAsia="Calibri"/>
          <w:lang w:bidi="fa-IR"/>
        </w:rPr>
        <w:tab/>
      </w:r>
      <w:r w:rsidR="002639AE">
        <w:rPr>
          <w:rFonts w:eastAsia="Calibri"/>
          <w:lang w:bidi="fa-IR"/>
        </w:rPr>
        <w:t>Regulations</w:t>
      </w:r>
      <w:bookmarkEnd w:id="22"/>
    </w:p>
    <w:p w:rsidR="002639AE" w:rsidRPr="003D0442" w:rsidRDefault="002639AE" w:rsidP="007A33FF">
      <w:pPr>
        <w:pStyle w:val="NoSpacing"/>
        <w:jc w:val="both"/>
        <w:rPr>
          <w:rFonts w:eastAsia="Calibri"/>
          <w:b/>
          <w:bCs/>
          <w:sz w:val="14"/>
          <w:szCs w:val="14"/>
          <w:lang w:bidi="fa-IR"/>
        </w:rPr>
      </w:pPr>
    </w:p>
    <w:p w:rsidR="00B00F4D" w:rsidRDefault="002639AE" w:rsidP="007A33FF">
      <w:pPr>
        <w:pStyle w:val="NoSpacing"/>
        <w:jc w:val="both"/>
        <w:rPr>
          <w:rFonts w:eastAsia="Calibri"/>
          <w:bCs/>
          <w:sz w:val="24"/>
          <w:szCs w:val="24"/>
          <w:lang w:bidi="fa-IR"/>
        </w:rPr>
      </w:pPr>
      <w:r>
        <w:rPr>
          <w:rFonts w:eastAsia="Calibri"/>
          <w:bCs/>
          <w:sz w:val="24"/>
          <w:szCs w:val="24"/>
          <w:lang w:bidi="fa-IR"/>
        </w:rPr>
        <w:t>Various regulations have been prepared and soon ready to be implemented.  These include the regulations for:</w:t>
      </w:r>
    </w:p>
    <w:p w:rsidR="002639AE" w:rsidRPr="002639AE" w:rsidRDefault="002639AE" w:rsidP="007A33FF">
      <w:pPr>
        <w:pStyle w:val="NoSpacing"/>
        <w:jc w:val="both"/>
        <w:rPr>
          <w:rFonts w:eastAsia="Calibri"/>
          <w:bCs/>
          <w:lang w:bidi="fa-IR"/>
        </w:rPr>
      </w:pPr>
    </w:p>
    <w:p w:rsidR="002639AE" w:rsidRDefault="00B00F4D" w:rsidP="00E027F3">
      <w:pPr>
        <w:pStyle w:val="NoSpacing"/>
        <w:numPr>
          <w:ilvl w:val="0"/>
          <w:numId w:val="2"/>
        </w:numPr>
        <w:jc w:val="both"/>
        <w:rPr>
          <w:rFonts w:eastAsia="Calibri"/>
          <w:lang w:bidi="fa-IR"/>
        </w:rPr>
      </w:pPr>
      <w:r w:rsidRPr="003357A5">
        <w:rPr>
          <w:rFonts w:eastAsia="Calibri"/>
          <w:sz w:val="24"/>
          <w:szCs w:val="24"/>
          <w:lang w:bidi="fa-IR"/>
        </w:rPr>
        <w:t xml:space="preserve">Fire insurance </w:t>
      </w:r>
    </w:p>
    <w:p w:rsidR="002639AE" w:rsidRDefault="00B00F4D" w:rsidP="00E027F3">
      <w:pPr>
        <w:pStyle w:val="NoSpacing"/>
        <w:numPr>
          <w:ilvl w:val="0"/>
          <w:numId w:val="2"/>
        </w:numPr>
        <w:jc w:val="both"/>
        <w:rPr>
          <w:rFonts w:eastAsia="Calibri"/>
          <w:lang w:bidi="fa-IR"/>
        </w:rPr>
      </w:pPr>
      <w:r w:rsidRPr="002639AE">
        <w:rPr>
          <w:rFonts w:eastAsia="Calibri"/>
          <w:sz w:val="24"/>
          <w:szCs w:val="24"/>
          <w:lang w:bidi="fa-IR"/>
        </w:rPr>
        <w:t xml:space="preserve">Motor third party liability insurance </w:t>
      </w:r>
    </w:p>
    <w:p w:rsidR="002639AE" w:rsidRDefault="00B00F4D" w:rsidP="00E027F3">
      <w:pPr>
        <w:pStyle w:val="NoSpacing"/>
        <w:numPr>
          <w:ilvl w:val="0"/>
          <w:numId w:val="2"/>
        </w:numPr>
        <w:jc w:val="both"/>
        <w:rPr>
          <w:rFonts w:eastAsia="Calibri"/>
          <w:lang w:bidi="fa-IR"/>
        </w:rPr>
      </w:pPr>
      <w:r w:rsidRPr="002639AE">
        <w:rPr>
          <w:rFonts w:eastAsia="Calibri"/>
          <w:sz w:val="24"/>
          <w:szCs w:val="24"/>
          <w:lang w:bidi="fa-IR"/>
        </w:rPr>
        <w:t xml:space="preserve">Health insurance </w:t>
      </w:r>
    </w:p>
    <w:p w:rsidR="00B00F4D" w:rsidRPr="002639AE" w:rsidRDefault="00927045" w:rsidP="00E027F3">
      <w:pPr>
        <w:pStyle w:val="NoSpacing"/>
        <w:numPr>
          <w:ilvl w:val="0"/>
          <w:numId w:val="2"/>
        </w:numPr>
        <w:jc w:val="both"/>
        <w:rPr>
          <w:rFonts w:eastAsia="Calibri"/>
          <w:lang w:bidi="fa-IR"/>
        </w:rPr>
      </w:pPr>
      <w:r w:rsidRPr="002639AE">
        <w:rPr>
          <w:rFonts w:eastAsia="Calibri"/>
          <w:sz w:val="24"/>
          <w:szCs w:val="24"/>
          <w:lang w:bidi="fa-IR"/>
        </w:rPr>
        <w:t>Micro</w:t>
      </w:r>
      <w:r>
        <w:rPr>
          <w:rFonts w:eastAsia="Calibri"/>
          <w:sz w:val="24"/>
          <w:szCs w:val="24"/>
          <w:lang w:bidi="fa-IR"/>
        </w:rPr>
        <w:t xml:space="preserve"> </w:t>
      </w:r>
      <w:r w:rsidRPr="002639AE">
        <w:rPr>
          <w:rFonts w:eastAsia="Calibri"/>
          <w:sz w:val="24"/>
          <w:szCs w:val="24"/>
          <w:lang w:bidi="fa-IR"/>
        </w:rPr>
        <w:t>insurance</w:t>
      </w:r>
      <w:r w:rsidR="00B00F4D" w:rsidRPr="002639AE">
        <w:rPr>
          <w:rFonts w:eastAsia="Calibri"/>
          <w:sz w:val="24"/>
          <w:szCs w:val="24"/>
          <w:lang w:bidi="fa-IR"/>
        </w:rPr>
        <w:t xml:space="preserve"> </w:t>
      </w:r>
      <w:r w:rsidR="002639AE">
        <w:rPr>
          <w:rFonts w:eastAsia="Calibri"/>
          <w:sz w:val="24"/>
          <w:szCs w:val="24"/>
          <w:lang w:bidi="fa-IR"/>
        </w:rPr>
        <w:t>(for low-income population)</w:t>
      </w:r>
    </w:p>
    <w:p w:rsidR="002639AE" w:rsidRDefault="0020236C" w:rsidP="00E027F3">
      <w:pPr>
        <w:pStyle w:val="NoSpacing"/>
        <w:numPr>
          <w:ilvl w:val="0"/>
          <w:numId w:val="2"/>
        </w:numPr>
        <w:jc w:val="both"/>
        <w:rPr>
          <w:rFonts w:eastAsia="Calibri"/>
          <w:lang w:bidi="fa-IR"/>
        </w:rPr>
      </w:pPr>
      <w:r>
        <w:rPr>
          <w:rFonts w:eastAsia="Calibri"/>
          <w:lang w:bidi="fa-IR"/>
        </w:rPr>
        <w:t xml:space="preserve">Insurance Solvency </w:t>
      </w:r>
    </w:p>
    <w:p w:rsidR="0020236C" w:rsidRDefault="0020236C" w:rsidP="00E027F3">
      <w:pPr>
        <w:pStyle w:val="NoSpacing"/>
        <w:numPr>
          <w:ilvl w:val="0"/>
          <w:numId w:val="2"/>
        </w:numPr>
        <w:jc w:val="both"/>
        <w:rPr>
          <w:rFonts w:eastAsia="Calibri"/>
          <w:lang w:bidi="fa-IR"/>
        </w:rPr>
      </w:pPr>
      <w:r>
        <w:rPr>
          <w:rFonts w:eastAsia="Calibri"/>
          <w:lang w:bidi="fa-IR"/>
        </w:rPr>
        <w:t>Corporate Governance</w:t>
      </w:r>
    </w:p>
    <w:p w:rsidR="0020236C" w:rsidRPr="002639AE" w:rsidRDefault="0020236C" w:rsidP="00E027F3">
      <w:pPr>
        <w:pStyle w:val="NoSpacing"/>
        <w:numPr>
          <w:ilvl w:val="0"/>
          <w:numId w:val="2"/>
        </w:numPr>
        <w:jc w:val="both"/>
        <w:rPr>
          <w:rFonts w:eastAsia="Calibri"/>
          <w:lang w:bidi="fa-IR"/>
        </w:rPr>
      </w:pPr>
      <w:r>
        <w:rPr>
          <w:rFonts w:eastAsia="Calibri"/>
          <w:lang w:bidi="fa-IR"/>
        </w:rPr>
        <w:t>Fit and Proper (Management of Insurance companies)</w:t>
      </w:r>
    </w:p>
    <w:p w:rsidR="007F6C59" w:rsidRPr="002E42E8" w:rsidRDefault="007F6C59" w:rsidP="007A33FF">
      <w:pPr>
        <w:pStyle w:val="NoSpacing"/>
        <w:jc w:val="both"/>
        <w:rPr>
          <w:rFonts w:eastAsia="Calibri"/>
          <w:b/>
          <w:bCs/>
          <w:sz w:val="6"/>
          <w:szCs w:val="6"/>
          <w:lang w:bidi="fa-IR"/>
        </w:rPr>
      </w:pPr>
    </w:p>
    <w:p w:rsidR="0020236C" w:rsidRPr="003D0442" w:rsidRDefault="0020236C" w:rsidP="007A33FF">
      <w:pPr>
        <w:pStyle w:val="NoSpacing"/>
        <w:jc w:val="both"/>
        <w:rPr>
          <w:rFonts w:eastAsia="Calibri"/>
          <w:b/>
          <w:bCs/>
          <w:sz w:val="8"/>
          <w:szCs w:val="8"/>
          <w:lang w:bidi="fa-IR"/>
        </w:rPr>
      </w:pPr>
    </w:p>
    <w:p w:rsidR="002639AE" w:rsidRDefault="00AE0E4D" w:rsidP="002639AE">
      <w:pPr>
        <w:pStyle w:val="Heading2"/>
        <w:rPr>
          <w:rFonts w:eastAsia="Calibri"/>
          <w:lang w:bidi="fa-IR"/>
        </w:rPr>
      </w:pPr>
      <w:bookmarkStart w:id="23" w:name="_Toc43808716"/>
      <w:r>
        <w:rPr>
          <w:rFonts w:eastAsia="Calibri"/>
          <w:lang w:bidi="fa-IR"/>
        </w:rPr>
        <w:t>4</w:t>
      </w:r>
      <w:r w:rsidR="004A3922">
        <w:rPr>
          <w:rFonts w:eastAsia="Calibri"/>
          <w:lang w:bidi="fa-IR"/>
        </w:rPr>
        <w:t>.3</w:t>
      </w:r>
      <w:r w:rsidR="004A3922">
        <w:rPr>
          <w:rFonts w:eastAsia="Calibri"/>
          <w:lang w:bidi="fa-IR"/>
        </w:rPr>
        <w:tab/>
      </w:r>
      <w:r w:rsidR="002639AE">
        <w:rPr>
          <w:rFonts w:eastAsia="Calibri"/>
          <w:lang w:bidi="fa-IR"/>
        </w:rPr>
        <w:t>Regulatory Guidelines and Documents</w:t>
      </w:r>
      <w:bookmarkEnd w:id="23"/>
    </w:p>
    <w:p w:rsidR="002639AE" w:rsidRDefault="002639AE" w:rsidP="007A33FF">
      <w:pPr>
        <w:pStyle w:val="NoSpacing"/>
        <w:jc w:val="both"/>
        <w:rPr>
          <w:rFonts w:eastAsia="Calibri"/>
          <w:b/>
          <w:bCs/>
          <w:lang w:bidi="fa-IR"/>
        </w:rPr>
      </w:pPr>
    </w:p>
    <w:p w:rsidR="0020236C" w:rsidRPr="0020236C" w:rsidRDefault="002639AE" w:rsidP="007A33FF">
      <w:pPr>
        <w:pStyle w:val="NoSpacing"/>
        <w:jc w:val="both"/>
        <w:rPr>
          <w:rFonts w:eastAsia="Calibri"/>
          <w:bCs/>
          <w:sz w:val="24"/>
          <w:szCs w:val="24"/>
          <w:lang w:bidi="fa-IR"/>
        </w:rPr>
      </w:pPr>
      <w:r w:rsidRPr="0020236C">
        <w:rPr>
          <w:rFonts w:eastAsia="Calibri"/>
          <w:bCs/>
          <w:sz w:val="24"/>
          <w:szCs w:val="24"/>
          <w:lang w:bidi="fa-IR"/>
        </w:rPr>
        <w:t>In addition to the above, various other documents have also been prepared</w:t>
      </w:r>
      <w:r w:rsidR="0020236C" w:rsidRPr="0020236C">
        <w:rPr>
          <w:rFonts w:eastAsia="Calibri"/>
          <w:bCs/>
          <w:sz w:val="24"/>
          <w:szCs w:val="24"/>
          <w:lang w:bidi="fa-IR"/>
        </w:rPr>
        <w:t>, including the:</w:t>
      </w:r>
    </w:p>
    <w:p w:rsidR="0020236C" w:rsidRPr="003D0442" w:rsidRDefault="0020236C" w:rsidP="007A33FF">
      <w:pPr>
        <w:pStyle w:val="NoSpacing"/>
        <w:jc w:val="both"/>
        <w:rPr>
          <w:rFonts w:eastAsia="Calibri"/>
          <w:b/>
          <w:bCs/>
          <w:sz w:val="18"/>
          <w:szCs w:val="18"/>
          <w:lang w:bidi="fa-IR"/>
        </w:rPr>
      </w:pPr>
    </w:p>
    <w:p w:rsidR="0020236C" w:rsidRDefault="00B00F4D" w:rsidP="00E027F3">
      <w:pPr>
        <w:pStyle w:val="NoSpacing"/>
        <w:numPr>
          <w:ilvl w:val="0"/>
          <w:numId w:val="2"/>
        </w:numPr>
        <w:jc w:val="both"/>
        <w:rPr>
          <w:rFonts w:eastAsia="Calibri"/>
          <w:lang w:bidi="fa-IR"/>
        </w:rPr>
      </w:pPr>
      <w:r w:rsidRPr="003357A5">
        <w:rPr>
          <w:rFonts w:eastAsia="Calibri"/>
          <w:sz w:val="24"/>
          <w:szCs w:val="24"/>
          <w:lang w:bidi="fa-IR"/>
        </w:rPr>
        <w:t>Article</w:t>
      </w:r>
      <w:r w:rsidR="0020236C">
        <w:rPr>
          <w:rFonts w:eastAsia="Calibri"/>
          <w:sz w:val="24"/>
          <w:szCs w:val="24"/>
          <w:lang w:bidi="fa-IR"/>
        </w:rPr>
        <w:t xml:space="preserve"> of Association for handicraftsme</w:t>
      </w:r>
      <w:r w:rsidRPr="003357A5">
        <w:rPr>
          <w:rFonts w:eastAsia="Calibri"/>
          <w:sz w:val="24"/>
          <w:szCs w:val="24"/>
          <w:lang w:bidi="fa-IR"/>
        </w:rPr>
        <w:t xml:space="preserve">n </w:t>
      </w:r>
    </w:p>
    <w:p w:rsidR="0020236C" w:rsidRDefault="00B00F4D" w:rsidP="00E027F3">
      <w:pPr>
        <w:pStyle w:val="NoSpacing"/>
        <w:numPr>
          <w:ilvl w:val="0"/>
          <w:numId w:val="2"/>
        </w:numPr>
        <w:jc w:val="both"/>
        <w:rPr>
          <w:rFonts w:eastAsia="Calibri"/>
          <w:lang w:bidi="fa-IR"/>
        </w:rPr>
      </w:pPr>
      <w:r w:rsidRPr="0020236C">
        <w:rPr>
          <w:rFonts w:eastAsia="Calibri"/>
          <w:sz w:val="24"/>
          <w:szCs w:val="24"/>
          <w:lang w:bidi="fa-IR"/>
        </w:rPr>
        <w:t xml:space="preserve">Migrant insurance regulation </w:t>
      </w:r>
    </w:p>
    <w:p w:rsidR="0020236C" w:rsidRDefault="00B00F4D" w:rsidP="00E027F3">
      <w:pPr>
        <w:pStyle w:val="NoSpacing"/>
        <w:numPr>
          <w:ilvl w:val="0"/>
          <w:numId w:val="2"/>
        </w:numPr>
        <w:jc w:val="both"/>
        <w:rPr>
          <w:rFonts w:eastAsia="Calibri"/>
          <w:lang w:bidi="fa-IR"/>
        </w:rPr>
      </w:pPr>
      <w:r w:rsidRPr="0020236C">
        <w:rPr>
          <w:rFonts w:eastAsia="Calibri"/>
          <w:sz w:val="24"/>
          <w:szCs w:val="24"/>
          <w:lang w:bidi="fa-IR"/>
        </w:rPr>
        <w:t>Solvency regime</w:t>
      </w:r>
    </w:p>
    <w:p w:rsidR="0020236C" w:rsidRDefault="00B00F4D" w:rsidP="00E027F3">
      <w:pPr>
        <w:pStyle w:val="NoSpacing"/>
        <w:numPr>
          <w:ilvl w:val="0"/>
          <w:numId w:val="2"/>
        </w:numPr>
        <w:jc w:val="both"/>
        <w:rPr>
          <w:rFonts w:eastAsia="Calibri"/>
          <w:lang w:bidi="fa-IR"/>
        </w:rPr>
      </w:pPr>
      <w:r w:rsidRPr="0020236C">
        <w:rPr>
          <w:rFonts w:eastAsia="Calibri"/>
          <w:sz w:val="24"/>
          <w:szCs w:val="24"/>
          <w:lang w:bidi="fa-IR"/>
        </w:rPr>
        <w:t>Commission and agent regulation</w:t>
      </w:r>
    </w:p>
    <w:p w:rsidR="0020236C" w:rsidRDefault="00B00F4D" w:rsidP="00E027F3">
      <w:pPr>
        <w:pStyle w:val="NoSpacing"/>
        <w:numPr>
          <w:ilvl w:val="0"/>
          <w:numId w:val="2"/>
        </w:numPr>
        <w:jc w:val="both"/>
        <w:rPr>
          <w:rFonts w:eastAsia="Calibri"/>
          <w:lang w:bidi="fa-IR"/>
        </w:rPr>
      </w:pPr>
      <w:r w:rsidRPr="0020236C">
        <w:rPr>
          <w:rFonts w:eastAsia="Calibri"/>
          <w:sz w:val="24"/>
          <w:szCs w:val="24"/>
          <w:lang w:bidi="fa-IR"/>
        </w:rPr>
        <w:t>Licensing regulation</w:t>
      </w:r>
    </w:p>
    <w:p w:rsidR="0020236C" w:rsidRDefault="00B00F4D" w:rsidP="00E027F3">
      <w:pPr>
        <w:pStyle w:val="NoSpacing"/>
        <w:numPr>
          <w:ilvl w:val="0"/>
          <w:numId w:val="2"/>
        </w:numPr>
        <w:jc w:val="both"/>
        <w:rPr>
          <w:rFonts w:eastAsia="Calibri"/>
          <w:lang w:bidi="fa-IR"/>
        </w:rPr>
      </w:pPr>
      <w:r w:rsidRPr="0020236C">
        <w:rPr>
          <w:rFonts w:eastAsia="Calibri"/>
          <w:sz w:val="24"/>
          <w:szCs w:val="24"/>
          <w:lang w:bidi="fa-IR"/>
        </w:rPr>
        <w:t xml:space="preserve">Procedure and tariff for third party liability </w:t>
      </w:r>
    </w:p>
    <w:p w:rsidR="0020236C" w:rsidRDefault="00B00F4D" w:rsidP="00E027F3">
      <w:pPr>
        <w:pStyle w:val="NoSpacing"/>
        <w:numPr>
          <w:ilvl w:val="0"/>
          <w:numId w:val="2"/>
        </w:numPr>
        <w:jc w:val="both"/>
        <w:rPr>
          <w:rFonts w:eastAsia="Calibri"/>
          <w:lang w:bidi="fa-IR"/>
        </w:rPr>
      </w:pPr>
      <w:r w:rsidRPr="0020236C">
        <w:rPr>
          <w:rFonts w:eastAsia="Calibri"/>
          <w:sz w:val="24"/>
          <w:szCs w:val="24"/>
          <w:lang w:bidi="fa-IR"/>
        </w:rPr>
        <w:t xml:space="preserve">Procedure and tariff for fire insurance </w:t>
      </w:r>
    </w:p>
    <w:p w:rsidR="0020236C" w:rsidRDefault="0020236C" w:rsidP="0020236C">
      <w:pPr>
        <w:pStyle w:val="NoSpacing"/>
        <w:jc w:val="both"/>
        <w:rPr>
          <w:rFonts w:eastAsia="Calibri"/>
          <w:sz w:val="24"/>
          <w:szCs w:val="24"/>
          <w:lang w:bidi="fa-IR"/>
        </w:rPr>
      </w:pPr>
    </w:p>
    <w:p w:rsidR="0020236C" w:rsidRDefault="00AE0E4D" w:rsidP="0020236C">
      <w:pPr>
        <w:pStyle w:val="Heading2"/>
        <w:rPr>
          <w:rFonts w:eastAsia="Calibri"/>
          <w:lang w:bidi="fa-IR"/>
        </w:rPr>
      </w:pPr>
      <w:bookmarkStart w:id="24" w:name="_Toc43808717"/>
      <w:r>
        <w:rPr>
          <w:rFonts w:eastAsia="Calibri"/>
          <w:lang w:bidi="fa-IR"/>
        </w:rPr>
        <w:t>4</w:t>
      </w:r>
      <w:r w:rsidR="004A3922">
        <w:rPr>
          <w:rFonts w:eastAsia="Calibri"/>
          <w:lang w:bidi="fa-IR"/>
        </w:rPr>
        <w:t>.4</w:t>
      </w:r>
      <w:r w:rsidR="004A3922">
        <w:rPr>
          <w:rFonts w:eastAsia="Calibri"/>
          <w:lang w:bidi="fa-IR"/>
        </w:rPr>
        <w:tab/>
      </w:r>
      <w:r w:rsidR="0020236C">
        <w:rPr>
          <w:rFonts w:eastAsia="Calibri"/>
          <w:lang w:bidi="fa-IR"/>
        </w:rPr>
        <w:t>Supervision and Enforcement systems</w:t>
      </w:r>
      <w:bookmarkEnd w:id="24"/>
    </w:p>
    <w:p w:rsidR="0020236C" w:rsidRPr="003D0442" w:rsidRDefault="0020236C" w:rsidP="0020236C">
      <w:pPr>
        <w:pStyle w:val="NoSpacing"/>
        <w:jc w:val="both"/>
        <w:rPr>
          <w:rFonts w:eastAsia="Calibri"/>
          <w:sz w:val="16"/>
          <w:szCs w:val="16"/>
          <w:lang w:bidi="fa-IR"/>
        </w:rPr>
      </w:pPr>
    </w:p>
    <w:p w:rsidR="0020236C" w:rsidRPr="0020236C" w:rsidRDefault="0020236C" w:rsidP="0020236C">
      <w:pPr>
        <w:pStyle w:val="NoSpacing"/>
        <w:jc w:val="both"/>
        <w:rPr>
          <w:rFonts w:eastAsia="Calibri"/>
          <w:bCs/>
          <w:sz w:val="24"/>
          <w:szCs w:val="24"/>
          <w:lang w:bidi="fa-IR"/>
        </w:rPr>
      </w:pPr>
      <w:r w:rsidRPr="0020236C">
        <w:rPr>
          <w:rFonts w:eastAsia="Calibri"/>
          <w:bCs/>
          <w:sz w:val="24"/>
          <w:szCs w:val="24"/>
          <w:lang w:bidi="fa-IR"/>
        </w:rPr>
        <w:t>In addition to the above, various other documents have also been prepared, including the:</w:t>
      </w:r>
    </w:p>
    <w:p w:rsidR="0020236C" w:rsidRPr="003D0442" w:rsidRDefault="0020236C" w:rsidP="0020236C">
      <w:pPr>
        <w:pStyle w:val="NoSpacing"/>
        <w:jc w:val="both"/>
        <w:rPr>
          <w:rFonts w:eastAsia="Calibri"/>
          <w:sz w:val="12"/>
          <w:szCs w:val="12"/>
          <w:lang w:bidi="fa-IR"/>
        </w:rPr>
      </w:pPr>
    </w:p>
    <w:p w:rsidR="00513E43" w:rsidRPr="00513E43" w:rsidRDefault="00B00F4D" w:rsidP="00E027F3">
      <w:pPr>
        <w:pStyle w:val="NoSpacing"/>
        <w:numPr>
          <w:ilvl w:val="0"/>
          <w:numId w:val="2"/>
        </w:numPr>
        <w:jc w:val="both"/>
        <w:rPr>
          <w:rFonts w:eastAsia="Calibri"/>
          <w:lang w:bidi="fa-IR"/>
        </w:rPr>
      </w:pPr>
      <w:r w:rsidRPr="0020236C">
        <w:rPr>
          <w:rFonts w:eastAsia="Calibri"/>
          <w:sz w:val="24"/>
          <w:szCs w:val="24"/>
          <w:lang w:bidi="fa-IR"/>
        </w:rPr>
        <w:t xml:space="preserve">Offsite </w:t>
      </w:r>
      <w:r w:rsidR="00513E43">
        <w:rPr>
          <w:rFonts w:eastAsia="Calibri"/>
          <w:sz w:val="24"/>
          <w:szCs w:val="24"/>
          <w:lang w:bidi="fa-IR"/>
        </w:rPr>
        <w:t>examination process manual</w:t>
      </w:r>
    </w:p>
    <w:p w:rsidR="00513E43" w:rsidRPr="00513E43" w:rsidRDefault="00513E43" w:rsidP="00E027F3">
      <w:pPr>
        <w:pStyle w:val="NoSpacing"/>
        <w:numPr>
          <w:ilvl w:val="0"/>
          <w:numId w:val="2"/>
        </w:numPr>
        <w:jc w:val="both"/>
        <w:rPr>
          <w:rFonts w:eastAsia="Calibri"/>
          <w:lang w:bidi="fa-IR"/>
        </w:rPr>
      </w:pPr>
      <w:r>
        <w:rPr>
          <w:rFonts w:eastAsia="Calibri"/>
          <w:sz w:val="24"/>
          <w:szCs w:val="24"/>
          <w:lang w:bidi="fa-IR"/>
        </w:rPr>
        <w:t>Financial and ratio analysis tools</w:t>
      </w:r>
    </w:p>
    <w:p w:rsidR="007F6C59" w:rsidRPr="00820E71" w:rsidRDefault="00513E43" w:rsidP="002E42E8">
      <w:pPr>
        <w:pStyle w:val="NoSpacing"/>
        <w:numPr>
          <w:ilvl w:val="0"/>
          <w:numId w:val="2"/>
        </w:numPr>
        <w:jc w:val="both"/>
        <w:rPr>
          <w:rFonts w:eastAsia="Calibri"/>
          <w:lang w:bidi="fa-IR"/>
        </w:rPr>
      </w:pPr>
      <w:r>
        <w:rPr>
          <w:rFonts w:eastAsia="Calibri"/>
          <w:sz w:val="24"/>
          <w:szCs w:val="24"/>
          <w:lang w:bidi="fa-IR"/>
        </w:rPr>
        <w:t>Onsite inspection process manual</w:t>
      </w:r>
    </w:p>
    <w:p w:rsidR="00820E71" w:rsidRPr="002E42E8" w:rsidRDefault="00820E71" w:rsidP="002E42E8">
      <w:pPr>
        <w:pStyle w:val="NoSpacing"/>
        <w:numPr>
          <w:ilvl w:val="0"/>
          <w:numId w:val="2"/>
        </w:numPr>
        <w:jc w:val="both"/>
        <w:rPr>
          <w:rFonts w:eastAsia="Calibri"/>
          <w:lang w:bidi="fa-IR"/>
        </w:rPr>
      </w:pPr>
      <w:r>
        <w:rPr>
          <w:rFonts w:eastAsia="Calibri"/>
          <w:sz w:val="24"/>
          <w:szCs w:val="24"/>
          <w:lang w:bidi="fa-IR"/>
        </w:rPr>
        <w:t>Quarterly financial reporting standards</w:t>
      </w:r>
    </w:p>
    <w:p w:rsidR="007D5F9A" w:rsidRDefault="00AE0E4D" w:rsidP="007D5F9A">
      <w:pPr>
        <w:pStyle w:val="Heading2"/>
        <w:rPr>
          <w:rFonts w:eastAsia="Calibri"/>
        </w:rPr>
      </w:pPr>
      <w:bookmarkStart w:id="25" w:name="_Toc43808718"/>
      <w:r>
        <w:rPr>
          <w:rFonts w:eastAsia="Calibri"/>
        </w:rPr>
        <w:lastRenderedPageBreak/>
        <w:t>4</w:t>
      </w:r>
      <w:r w:rsidR="004A3922">
        <w:rPr>
          <w:rFonts w:eastAsia="Calibri"/>
        </w:rPr>
        <w:t>.5</w:t>
      </w:r>
      <w:r w:rsidR="004A3922">
        <w:rPr>
          <w:rFonts w:eastAsia="Calibri"/>
        </w:rPr>
        <w:tab/>
      </w:r>
      <w:r w:rsidR="003A6431">
        <w:rPr>
          <w:rFonts w:eastAsia="Calibri"/>
        </w:rPr>
        <w:t>External affairs and public relation a</w:t>
      </w:r>
      <w:r w:rsidR="00C85561">
        <w:rPr>
          <w:rFonts w:eastAsia="Calibri"/>
        </w:rPr>
        <w:t>ctivities</w:t>
      </w:r>
      <w:bookmarkEnd w:id="25"/>
    </w:p>
    <w:p w:rsidR="009C6685" w:rsidRDefault="009C6685" w:rsidP="009C6685">
      <w:pPr>
        <w:rPr>
          <w:rFonts w:eastAsia="Calibri"/>
        </w:rPr>
      </w:pPr>
    </w:p>
    <w:p w:rsidR="009C6685" w:rsidRDefault="009C6685" w:rsidP="00A1080F">
      <w:pPr>
        <w:jc w:val="both"/>
        <w:rPr>
          <w:rFonts w:asciiTheme="minorHAnsi" w:eastAsia="Calibri" w:hAnsiTheme="minorHAnsi" w:cstheme="minorBidi"/>
          <w:bCs/>
          <w:lang w:val="en-US" w:eastAsia="en-US"/>
        </w:rPr>
      </w:pPr>
      <w:r w:rsidRPr="00B34DD5">
        <w:rPr>
          <w:rFonts w:asciiTheme="minorHAnsi" w:eastAsia="Calibri" w:hAnsiTheme="minorHAnsi" w:cstheme="minorBidi"/>
          <w:bCs/>
          <w:lang w:val="en-US" w:eastAsia="en-US"/>
        </w:rPr>
        <w:t xml:space="preserve">Meanwhile, </w:t>
      </w:r>
      <w:r w:rsidR="00A1080F">
        <w:rPr>
          <w:rFonts w:asciiTheme="minorHAnsi" w:eastAsia="Calibri" w:hAnsiTheme="minorHAnsi" w:cstheme="minorBidi"/>
          <w:bCs/>
          <w:lang w:val="en-US" w:eastAsia="en-US"/>
        </w:rPr>
        <w:t>for raising</w:t>
      </w:r>
      <w:r w:rsidRPr="00B34DD5">
        <w:rPr>
          <w:rFonts w:asciiTheme="minorHAnsi" w:eastAsia="Calibri" w:hAnsiTheme="minorHAnsi" w:cstheme="minorBidi"/>
          <w:bCs/>
          <w:lang w:val="en-US" w:eastAsia="en-US"/>
        </w:rPr>
        <w:t xml:space="preserve"> feedback of </w:t>
      </w:r>
      <w:r w:rsidR="00C3561E" w:rsidRPr="00B34DD5">
        <w:rPr>
          <w:rFonts w:asciiTheme="minorHAnsi" w:eastAsia="Calibri" w:hAnsiTheme="minorHAnsi" w:cstheme="minorBidi"/>
          <w:bCs/>
          <w:lang w:val="en-US" w:eastAsia="en-US"/>
        </w:rPr>
        <w:t xml:space="preserve">stakeholders </w:t>
      </w:r>
      <w:r w:rsidR="00A1080F">
        <w:rPr>
          <w:rFonts w:asciiTheme="minorHAnsi" w:eastAsia="Calibri" w:hAnsiTheme="minorHAnsi" w:cstheme="minorBidi"/>
          <w:bCs/>
          <w:lang w:val="en-US" w:eastAsia="en-US"/>
        </w:rPr>
        <w:t xml:space="preserve">to enrich </w:t>
      </w:r>
      <w:r w:rsidR="00C3561E" w:rsidRPr="00B34DD5">
        <w:rPr>
          <w:rFonts w:asciiTheme="minorHAnsi" w:eastAsia="Calibri" w:hAnsiTheme="minorHAnsi" w:cstheme="minorBidi"/>
          <w:bCs/>
          <w:lang w:val="en-US" w:eastAsia="en-US"/>
        </w:rPr>
        <w:t xml:space="preserve">and to </w:t>
      </w:r>
      <w:r w:rsidR="00A1080F">
        <w:rPr>
          <w:rFonts w:asciiTheme="minorHAnsi" w:eastAsia="Calibri" w:hAnsiTheme="minorHAnsi" w:cstheme="minorBidi"/>
          <w:bCs/>
          <w:lang w:val="en-US" w:eastAsia="en-US"/>
        </w:rPr>
        <w:t>strengthen the legal framework and also</w:t>
      </w:r>
      <w:r w:rsidR="00C3561E" w:rsidRPr="00B34DD5">
        <w:rPr>
          <w:rFonts w:asciiTheme="minorHAnsi" w:eastAsia="Calibri" w:hAnsiTheme="minorHAnsi" w:cstheme="minorBidi"/>
          <w:bCs/>
          <w:lang w:val="en-US" w:eastAsia="en-US"/>
        </w:rPr>
        <w:t xml:space="preserve"> </w:t>
      </w:r>
      <w:r w:rsidR="00A1080F" w:rsidRPr="00B34DD5">
        <w:rPr>
          <w:rFonts w:asciiTheme="minorHAnsi" w:eastAsia="Calibri" w:hAnsiTheme="minorHAnsi" w:cstheme="minorBidi"/>
          <w:bCs/>
          <w:lang w:val="en-US" w:eastAsia="en-US"/>
        </w:rPr>
        <w:t xml:space="preserve">for awareness purpose, </w:t>
      </w:r>
      <w:r w:rsidR="00C3561E" w:rsidRPr="00B34DD5">
        <w:rPr>
          <w:rFonts w:asciiTheme="minorHAnsi" w:eastAsia="Calibri" w:hAnsiTheme="minorHAnsi" w:cstheme="minorBidi"/>
          <w:bCs/>
          <w:lang w:val="en-US" w:eastAsia="en-US"/>
        </w:rPr>
        <w:t xml:space="preserve">the GDIA has undertaken </w:t>
      </w:r>
      <w:r w:rsidR="00A1080F">
        <w:rPr>
          <w:rFonts w:asciiTheme="minorHAnsi" w:eastAsia="Calibri" w:hAnsiTheme="minorHAnsi" w:cstheme="minorBidi"/>
          <w:bCs/>
          <w:lang w:val="en-US" w:eastAsia="en-US"/>
        </w:rPr>
        <w:t xml:space="preserve">and conducted </w:t>
      </w:r>
      <w:r w:rsidR="00C3561E" w:rsidRPr="00B34DD5">
        <w:rPr>
          <w:rFonts w:asciiTheme="minorHAnsi" w:eastAsia="Calibri" w:hAnsiTheme="minorHAnsi" w:cstheme="minorBidi"/>
          <w:bCs/>
          <w:lang w:val="en-US" w:eastAsia="en-US"/>
        </w:rPr>
        <w:t>gatherings, workshops</w:t>
      </w:r>
      <w:r w:rsidR="00A1080F">
        <w:rPr>
          <w:rFonts w:asciiTheme="minorHAnsi" w:eastAsia="Calibri" w:hAnsiTheme="minorHAnsi" w:cstheme="minorBidi"/>
          <w:bCs/>
          <w:lang w:val="en-US" w:eastAsia="en-US"/>
        </w:rPr>
        <w:t xml:space="preserve"> and seminars</w:t>
      </w:r>
      <w:r w:rsidR="00C3561E" w:rsidRPr="00B34DD5">
        <w:rPr>
          <w:rFonts w:asciiTheme="minorHAnsi" w:eastAsia="Calibri" w:hAnsiTheme="minorHAnsi" w:cstheme="minorBidi"/>
          <w:bCs/>
          <w:lang w:val="en-US" w:eastAsia="en-US"/>
        </w:rPr>
        <w:t xml:space="preserve"> at different stages </w:t>
      </w:r>
      <w:r w:rsidR="00A1080F">
        <w:rPr>
          <w:rFonts w:asciiTheme="minorHAnsi" w:eastAsia="Calibri" w:hAnsiTheme="minorHAnsi" w:cstheme="minorBidi"/>
          <w:bCs/>
          <w:lang w:val="en-US" w:eastAsia="en-US"/>
        </w:rPr>
        <w:t xml:space="preserve">and numerous locations </w:t>
      </w:r>
      <w:r w:rsidR="00C3561E" w:rsidRPr="00B34DD5">
        <w:rPr>
          <w:rFonts w:asciiTheme="minorHAnsi" w:eastAsia="Calibri" w:hAnsiTheme="minorHAnsi" w:cstheme="minorBidi"/>
          <w:bCs/>
          <w:lang w:val="en-US" w:eastAsia="en-US"/>
        </w:rPr>
        <w:t xml:space="preserve">during the past </w:t>
      </w:r>
      <w:r w:rsidR="00A1080F" w:rsidRPr="00B34DD5">
        <w:rPr>
          <w:rFonts w:asciiTheme="minorHAnsi" w:eastAsia="Calibri" w:hAnsiTheme="minorHAnsi" w:cstheme="minorBidi"/>
          <w:bCs/>
          <w:lang w:val="en-US" w:eastAsia="en-US"/>
        </w:rPr>
        <w:t>year</w:t>
      </w:r>
      <w:r w:rsidR="00A1080F">
        <w:rPr>
          <w:rFonts w:asciiTheme="minorHAnsi" w:eastAsia="Calibri" w:hAnsiTheme="minorHAnsi" w:cstheme="minorBidi"/>
          <w:bCs/>
          <w:lang w:val="en-US" w:eastAsia="en-US"/>
        </w:rPr>
        <w:t>, which were quite helpful for the sector development</w:t>
      </w:r>
      <w:r w:rsidR="00C3561E" w:rsidRPr="00B34DD5">
        <w:rPr>
          <w:rFonts w:asciiTheme="minorHAnsi" w:eastAsia="Calibri" w:hAnsiTheme="minorHAnsi" w:cstheme="minorBidi"/>
          <w:bCs/>
          <w:lang w:val="en-US" w:eastAsia="en-US"/>
        </w:rPr>
        <w:t>.</w:t>
      </w:r>
      <w:r w:rsidR="00A1080F">
        <w:rPr>
          <w:rFonts w:asciiTheme="minorHAnsi" w:eastAsia="Calibri" w:hAnsiTheme="minorHAnsi" w:cstheme="minorBidi"/>
          <w:bCs/>
          <w:lang w:val="en-US" w:eastAsia="en-US"/>
        </w:rPr>
        <w:t xml:space="preserve"> We shed light over some of these events as follow:</w:t>
      </w:r>
    </w:p>
    <w:p w:rsidR="00B64997" w:rsidRDefault="00B64997" w:rsidP="00A1080F">
      <w:pPr>
        <w:jc w:val="both"/>
        <w:rPr>
          <w:rFonts w:asciiTheme="minorHAnsi" w:eastAsia="Calibri" w:hAnsiTheme="minorHAnsi" w:cstheme="minorBidi"/>
          <w:bCs/>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2"/>
        <w:gridCol w:w="4778"/>
      </w:tblGrid>
      <w:tr w:rsidR="00B64997" w:rsidTr="00B64997">
        <w:tc>
          <w:tcPr>
            <w:tcW w:w="4788" w:type="dxa"/>
          </w:tcPr>
          <w:p w:rsidR="00B64997" w:rsidRDefault="00B64997" w:rsidP="00D46604">
            <w:pPr>
              <w:pStyle w:val="NoSpacing"/>
              <w:jc w:val="both"/>
              <w:rPr>
                <w:rFonts w:ascii="Calibri" w:eastAsia="Times New Roman" w:hAnsi="Calibri" w:cs="B Zar"/>
                <w:noProof/>
                <w:sz w:val="28"/>
                <w:szCs w:val="28"/>
              </w:rPr>
            </w:pPr>
            <w:r>
              <w:rPr>
                <w:rFonts w:eastAsia="Calibri"/>
                <w:bCs/>
                <w:sz w:val="24"/>
                <w:szCs w:val="24"/>
              </w:rPr>
              <w:t>Meeting with the Deputy Minister for Ministry of Justice Mr. Mohammad Qasim Halimi for discussion over the review progress and acceleration of draft Takaful law.</w:t>
            </w:r>
            <w:r w:rsidRPr="00327D4A">
              <w:rPr>
                <w:rFonts w:ascii="Calibri" w:eastAsia="Times New Roman" w:hAnsi="Calibri" w:cs="B Zar"/>
                <w:noProof/>
                <w:sz w:val="28"/>
                <w:szCs w:val="28"/>
                <w:rtl/>
              </w:rPr>
              <w:t xml:space="preserve"> </w:t>
            </w:r>
          </w:p>
          <w:p w:rsidR="00B64997" w:rsidRPr="00B64997" w:rsidRDefault="00B64997" w:rsidP="00B64997">
            <w:pPr>
              <w:rPr>
                <w:rFonts w:asciiTheme="minorHAnsi" w:eastAsia="Calibri" w:hAnsiTheme="minorHAnsi" w:cstheme="minorBidi"/>
                <w:bCs/>
                <w:lang w:val="en-US" w:eastAsia="en-US"/>
              </w:rPr>
            </w:pPr>
          </w:p>
        </w:tc>
        <w:tc>
          <w:tcPr>
            <w:tcW w:w="4788" w:type="dxa"/>
          </w:tcPr>
          <w:p w:rsidR="00B64997" w:rsidRDefault="00B64997" w:rsidP="00B64997">
            <w:pPr>
              <w:jc w:val="center"/>
              <w:rPr>
                <w:rFonts w:asciiTheme="minorHAnsi" w:eastAsia="Calibri" w:hAnsiTheme="minorHAnsi" w:cstheme="minorBidi"/>
                <w:bCs/>
                <w:lang w:val="en-US" w:eastAsia="en-US"/>
              </w:rPr>
            </w:pPr>
            <w:r>
              <w:rPr>
                <w:rFonts w:ascii="Calibri" w:hAnsi="Calibri" w:cs="B Zar"/>
                <w:noProof/>
                <w:sz w:val="28"/>
                <w:szCs w:val="28"/>
                <w:rtl/>
                <w:lang w:val="en-US" w:eastAsia="en-US"/>
              </w:rPr>
              <w:drawing>
                <wp:anchor distT="0" distB="0" distL="114300" distR="114300" simplePos="0" relativeHeight="251681280" behindDoc="1" locked="0" layoutInCell="1" allowOverlap="1" wp14:anchorId="3B5F3D12" wp14:editId="4FB6AF15">
                  <wp:simplePos x="0" y="0"/>
                  <wp:positionH relativeFrom="column">
                    <wp:posOffset>168910</wp:posOffset>
                  </wp:positionH>
                  <wp:positionV relativeFrom="paragraph">
                    <wp:posOffset>74930</wp:posOffset>
                  </wp:positionV>
                  <wp:extent cx="2580640" cy="1793875"/>
                  <wp:effectExtent l="0" t="0" r="0" b="0"/>
                  <wp:wrapTight wrapText="bothSides">
                    <wp:wrapPolygon edited="0">
                      <wp:start x="0" y="0"/>
                      <wp:lineTo x="0" y="21332"/>
                      <wp:lineTo x="21366" y="21332"/>
                      <wp:lineTo x="21366" y="0"/>
                      <wp:lineTo x="0" y="0"/>
                    </wp:wrapPolygon>
                  </wp:wrapTight>
                  <wp:docPr id="8" name="Picture 8" descr="70620390_2887398124607885_455052918882566144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0620390_2887398124607885_4550529188825661440_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0640" cy="1793875"/>
                          </a:xfrm>
                          <a:prstGeom prst="rect">
                            <a:avLst/>
                          </a:prstGeom>
                          <a:noFill/>
                        </pic:spPr>
                      </pic:pic>
                    </a:graphicData>
                  </a:graphic>
                  <wp14:sizeRelH relativeFrom="margin">
                    <wp14:pctWidth>0</wp14:pctWidth>
                  </wp14:sizeRelH>
                  <wp14:sizeRelV relativeFrom="margin">
                    <wp14:pctHeight>0</wp14:pctHeight>
                  </wp14:sizeRelV>
                </wp:anchor>
              </w:drawing>
            </w:r>
          </w:p>
        </w:tc>
      </w:tr>
      <w:tr w:rsidR="005743F3" w:rsidTr="00B64997">
        <w:tc>
          <w:tcPr>
            <w:tcW w:w="4788" w:type="dxa"/>
          </w:tcPr>
          <w:p w:rsidR="005743F3" w:rsidRDefault="005743F3" w:rsidP="005743F3">
            <w:pPr>
              <w:pStyle w:val="NoSpacing"/>
              <w:rPr>
                <w:rFonts w:eastAsia="Calibri"/>
                <w:bCs/>
                <w:sz w:val="24"/>
                <w:szCs w:val="24"/>
              </w:rPr>
            </w:pPr>
          </w:p>
        </w:tc>
        <w:tc>
          <w:tcPr>
            <w:tcW w:w="4788" w:type="dxa"/>
          </w:tcPr>
          <w:p w:rsidR="005743F3" w:rsidRDefault="005743F3" w:rsidP="00B64997">
            <w:pPr>
              <w:jc w:val="center"/>
              <w:rPr>
                <w:rFonts w:ascii="Calibri" w:hAnsi="Calibri" w:cs="B Zar"/>
                <w:noProof/>
                <w:sz w:val="28"/>
                <w:szCs w:val="28"/>
                <w:rtl/>
              </w:rPr>
            </w:pPr>
          </w:p>
        </w:tc>
      </w:tr>
      <w:tr w:rsidR="00B64997" w:rsidTr="00B64997">
        <w:tc>
          <w:tcPr>
            <w:tcW w:w="4788" w:type="dxa"/>
          </w:tcPr>
          <w:p w:rsidR="00B64997" w:rsidRDefault="00B64997" w:rsidP="00D46604">
            <w:pPr>
              <w:jc w:val="both"/>
              <w:rPr>
                <w:rFonts w:asciiTheme="minorHAnsi" w:eastAsia="Calibri" w:hAnsiTheme="minorHAnsi" w:cstheme="minorBidi"/>
                <w:bCs/>
                <w:lang w:val="en-US" w:eastAsia="en-US"/>
              </w:rPr>
            </w:pPr>
            <w:r>
              <w:rPr>
                <w:rFonts w:asciiTheme="minorHAnsi" w:eastAsia="Calibri" w:hAnsiTheme="minorHAnsi" w:cstheme="minorBidi"/>
                <w:bCs/>
                <w:lang w:val="en-US" w:eastAsia="en-US"/>
              </w:rPr>
              <w:t>A two-day</w:t>
            </w:r>
            <w:r w:rsidRPr="00B34DD5">
              <w:rPr>
                <w:rFonts w:asciiTheme="minorHAnsi" w:eastAsia="Calibri" w:hAnsiTheme="minorHAnsi" w:cstheme="minorBidi"/>
                <w:bCs/>
                <w:lang w:val="en-US" w:eastAsia="en-US"/>
              </w:rPr>
              <w:t xml:space="preserve"> workshop </w:t>
            </w:r>
            <w:r>
              <w:rPr>
                <w:rFonts w:asciiTheme="minorHAnsi" w:eastAsia="Calibri" w:hAnsiTheme="minorHAnsi" w:cstheme="minorBidi"/>
                <w:bCs/>
                <w:lang w:val="en-US" w:eastAsia="en-US"/>
              </w:rPr>
              <w:t xml:space="preserve">organized in Kabul </w:t>
            </w:r>
            <w:r w:rsidRPr="00B34DD5">
              <w:rPr>
                <w:rFonts w:asciiTheme="minorHAnsi" w:eastAsia="Calibri" w:hAnsiTheme="minorHAnsi" w:cstheme="minorBidi"/>
                <w:bCs/>
                <w:lang w:val="en-US" w:eastAsia="en-US"/>
              </w:rPr>
              <w:t xml:space="preserve">with the World Bank experts </w:t>
            </w:r>
            <w:r>
              <w:rPr>
                <w:rFonts w:asciiTheme="minorHAnsi" w:eastAsia="Calibri" w:hAnsiTheme="minorHAnsi" w:cstheme="minorBidi"/>
                <w:bCs/>
                <w:lang w:val="en-US" w:eastAsia="en-US"/>
              </w:rPr>
              <w:t>for discussion over the items including:</w:t>
            </w:r>
          </w:p>
          <w:p w:rsidR="00B64997" w:rsidRDefault="00B64997" w:rsidP="00B64997">
            <w:pPr>
              <w:pStyle w:val="ListParagraph"/>
              <w:rPr>
                <w:rFonts w:asciiTheme="minorHAnsi" w:eastAsia="Calibri" w:hAnsiTheme="minorHAnsi" w:cstheme="minorBidi"/>
                <w:bCs/>
                <w:lang w:val="en-US" w:eastAsia="en-US"/>
              </w:rPr>
            </w:pPr>
          </w:p>
          <w:p w:rsidR="00B64997" w:rsidRPr="00A1186A" w:rsidRDefault="00B64997" w:rsidP="00D46604">
            <w:pPr>
              <w:pStyle w:val="ListParagraph"/>
              <w:numPr>
                <w:ilvl w:val="0"/>
                <w:numId w:val="11"/>
              </w:numPr>
              <w:jc w:val="both"/>
              <w:rPr>
                <w:rFonts w:asciiTheme="minorHAnsi" w:eastAsia="Calibri" w:hAnsiTheme="minorHAnsi" w:cstheme="minorBidi"/>
                <w:bCs/>
                <w:lang w:val="en-US" w:eastAsia="en-US"/>
              </w:rPr>
            </w:pPr>
            <w:r w:rsidRPr="00A1186A">
              <w:rPr>
                <w:rFonts w:asciiTheme="minorHAnsi" w:eastAsia="Calibri" w:hAnsiTheme="minorHAnsi" w:cstheme="minorBidi"/>
                <w:bCs/>
                <w:lang w:val="en-US" w:eastAsia="en-US"/>
              </w:rPr>
              <w:t xml:space="preserve">Review of the amended insurance law articles as per </w:t>
            </w:r>
            <w:r>
              <w:rPr>
                <w:rFonts w:asciiTheme="minorHAnsi" w:eastAsia="Calibri" w:hAnsiTheme="minorHAnsi" w:cstheme="minorBidi"/>
                <w:bCs/>
                <w:lang w:val="en-US" w:eastAsia="en-US"/>
              </w:rPr>
              <w:t xml:space="preserve">the </w:t>
            </w:r>
            <w:r w:rsidRPr="00A1186A">
              <w:rPr>
                <w:rFonts w:asciiTheme="minorHAnsi" w:eastAsia="Calibri" w:hAnsiTheme="minorHAnsi" w:cstheme="minorBidi"/>
                <w:bCs/>
                <w:lang w:val="en-US" w:eastAsia="en-US"/>
              </w:rPr>
              <w:t>I</w:t>
            </w:r>
            <w:r>
              <w:rPr>
                <w:rFonts w:asciiTheme="minorHAnsi" w:eastAsia="Calibri" w:hAnsiTheme="minorHAnsi" w:cstheme="minorBidi"/>
                <w:bCs/>
                <w:lang w:val="en-US" w:eastAsia="en-US"/>
              </w:rPr>
              <w:t xml:space="preserve">nsurance </w:t>
            </w:r>
            <w:r w:rsidRPr="00A1186A">
              <w:rPr>
                <w:rFonts w:asciiTheme="minorHAnsi" w:eastAsia="Calibri" w:hAnsiTheme="minorHAnsi" w:cstheme="minorBidi"/>
                <w:bCs/>
                <w:lang w:val="en-US" w:eastAsia="en-US"/>
              </w:rPr>
              <w:t>C</w:t>
            </w:r>
            <w:r>
              <w:rPr>
                <w:rFonts w:asciiTheme="minorHAnsi" w:eastAsia="Calibri" w:hAnsiTheme="minorHAnsi" w:cstheme="minorBidi"/>
                <w:bCs/>
                <w:lang w:val="en-US" w:eastAsia="en-US"/>
              </w:rPr>
              <w:t xml:space="preserve">ore </w:t>
            </w:r>
            <w:r w:rsidRPr="00A1186A">
              <w:rPr>
                <w:rFonts w:asciiTheme="minorHAnsi" w:eastAsia="Calibri" w:hAnsiTheme="minorHAnsi" w:cstheme="minorBidi"/>
                <w:bCs/>
                <w:lang w:val="en-US" w:eastAsia="en-US"/>
              </w:rPr>
              <w:t>P</w:t>
            </w:r>
            <w:r>
              <w:rPr>
                <w:rFonts w:asciiTheme="minorHAnsi" w:eastAsia="Calibri" w:hAnsiTheme="minorHAnsi" w:cstheme="minorBidi"/>
                <w:bCs/>
                <w:lang w:val="en-US" w:eastAsia="en-US"/>
              </w:rPr>
              <w:t>rinciples;</w:t>
            </w:r>
          </w:p>
          <w:p w:rsidR="00B64997" w:rsidRPr="00A1186A" w:rsidRDefault="00B64997" w:rsidP="00D46604">
            <w:pPr>
              <w:pStyle w:val="ListParagraph"/>
              <w:numPr>
                <w:ilvl w:val="0"/>
                <w:numId w:val="11"/>
              </w:numPr>
              <w:jc w:val="both"/>
              <w:rPr>
                <w:rFonts w:asciiTheme="minorHAnsi" w:eastAsia="Calibri" w:hAnsiTheme="minorHAnsi" w:cstheme="minorBidi"/>
                <w:bCs/>
                <w:lang w:val="en-US" w:eastAsia="en-US"/>
              </w:rPr>
            </w:pPr>
            <w:r w:rsidRPr="00A1186A">
              <w:rPr>
                <w:rFonts w:asciiTheme="minorHAnsi" w:eastAsia="Calibri" w:hAnsiTheme="minorHAnsi" w:cstheme="minorBidi"/>
                <w:bCs/>
                <w:lang w:val="en-US" w:eastAsia="en-US"/>
              </w:rPr>
              <w:t>Article</w:t>
            </w:r>
            <w:r>
              <w:rPr>
                <w:rFonts w:asciiTheme="minorHAnsi" w:eastAsia="Calibri" w:hAnsiTheme="minorHAnsi" w:cstheme="minorBidi"/>
                <w:bCs/>
                <w:lang w:val="en-US" w:eastAsia="en-US"/>
              </w:rPr>
              <w:t>-</w:t>
            </w:r>
            <w:r w:rsidRPr="00A1186A">
              <w:rPr>
                <w:rFonts w:asciiTheme="minorHAnsi" w:eastAsia="Calibri" w:hAnsiTheme="minorHAnsi" w:cstheme="minorBidi"/>
                <w:bCs/>
                <w:lang w:val="en-US" w:eastAsia="en-US"/>
              </w:rPr>
              <w:t>wise review of the Takaful law</w:t>
            </w:r>
            <w:r>
              <w:rPr>
                <w:rFonts w:asciiTheme="minorHAnsi" w:eastAsia="Calibri" w:hAnsiTheme="minorHAnsi" w:cstheme="minorBidi"/>
                <w:bCs/>
                <w:lang w:val="en-US" w:eastAsia="en-US"/>
              </w:rPr>
              <w:t>; and</w:t>
            </w:r>
          </w:p>
          <w:p w:rsidR="00B64997" w:rsidRPr="00A1186A" w:rsidRDefault="00B64997" w:rsidP="00D46604">
            <w:pPr>
              <w:pStyle w:val="ListParagraph"/>
              <w:numPr>
                <w:ilvl w:val="0"/>
                <w:numId w:val="11"/>
              </w:numPr>
              <w:jc w:val="both"/>
              <w:rPr>
                <w:rFonts w:asciiTheme="minorHAnsi" w:eastAsia="Calibri" w:hAnsiTheme="minorHAnsi" w:cstheme="minorBidi"/>
                <w:bCs/>
                <w:lang w:val="en-US" w:eastAsia="en-US"/>
              </w:rPr>
            </w:pPr>
            <w:r w:rsidRPr="00A1186A">
              <w:rPr>
                <w:rFonts w:asciiTheme="minorHAnsi" w:eastAsia="Calibri" w:hAnsiTheme="minorHAnsi" w:cstheme="minorBidi"/>
                <w:bCs/>
                <w:lang w:val="en-US" w:eastAsia="en-US"/>
              </w:rPr>
              <w:t xml:space="preserve">Providing feedback on how to </w:t>
            </w:r>
            <w:r>
              <w:rPr>
                <w:rFonts w:asciiTheme="minorHAnsi" w:eastAsia="Calibri" w:hAnsiTheme="minorHAnsi" w:cstheme="minorBidi"/>
                <w:bCs/>
                <w:lang w:val="en-US" w:eastAsia="en-US"/>
              </w:rPr>
              <w:t xml:space="preserve">strengthen and </w:t>
            </w:r>
            <w:r w:rsidRPr="00A1186A">
              <w:rPr>
                <w:rFonts w:asciiTheme="minorHAnsi" w:eastAsia="Calibri" w:hAnsiTheme="minorHAnsi" w:cstheme="minorBidi"/>
                <w:bCs/>
                <w:lang w:val="en-US" w:eastAsia="en-US"/>
              </w:rPr>
              <w:t>standardize insurance supervision</w:t>
            </w:r>
            <w:r>
              <w:rPr>
                <w:rFonts w:asciiTheme="minorHAnsi" w:eastAsia="Calibri" w:hAnsiTheme="minorHAnsi" w:cstheme="minorBidi"/>
                <w:bCs/>
                <w:lang w:val="en-US" w:eastAsia="en-US"/>
              </w:rPr>
              <w:t>.</w:t>
            </w:r>
          </w:p>
          <w:p w:rsidR="00B64997" w:rsidRDefault="00B64997" w:rsidP="00B64997">
            <w:pPr>
              <w:rPr>
                <w:rFonts w:asciiTheme="minorHAnsi" w:eastAsia="Calibri" w:hAnsiTheme="minorHAnsi" w:cstheme="minorBidi"/>
                <w:bCs/>
                <w:lang w:val="en-US" w:eastAsia="en-US"/>
              </w:rPr>
            </w:pPr>
          </w:p>
        </w:tc>
        <w:tc>
          <w:tcPr>
            <w:tcW w:w="4788" w:type="dxa"/>
          </w:tcPr>
          <w:p w:rsidR="00B64997" w:rsidRPr="00B34DD5" w:rsidRDefault="00B64997" w:rsidP="00B64997">
            <w:pPr>
              <w:jc w:val="center"/>
              <w:rPr>
                <w:rFonts w:asciiTheme="minorHAnsi" w:eastAsia="Calibri" w:hAnsiTheme="minorHAnsi" w:cstheme="minorBidi"/>
                <w:bCs/>
                <w:noProof/>
                <w:rtl/>
              </w:rPr>
            </w:pPr>
            <w:r w:rsidRPr="00B34DD5">
              <w:rPr>
                <w:rFonts w:asciiTheme="minorHAnsi" w:eastAsia="Calibri" w:hAnsiTheme="minorHAnsi" w:cstheme="minorBidi"/>
                <w:bCs/>
                <w:noProof/>
                <w:rtl/>
                <w:lang w:val="en-US" w:eastAsia="en-US"/>
              </w:rPr>
              <w:drawing>
                <wp:anchor distT="0" distB="0" distL="114300" distR="114300" simplePos="0" relativeHeight="251679232" behindDoc="0" locked="0" layoutInCell="1" allowOverlap="1" wp14:anchorId="7E1527A9" wp14:editId="0C9F81BF">
                  <wp:simplePos x="0" y="0"/>
                  <wp:positionH relativeFrom="margin">
                    <wp:posOffset>171450</wp:posOffset>
                  </wp:positionH>
                  <wp:positionV relativeFrom="paragraph">
                    <wp:posOffset>20320</wp:posOffset>
                  </wp:positionV>
                  <wp:extent cx="2664460" cy="1656080"/>
                  <wp:effectExtent l="0" t="0" r="2540" b="1270"/>
                  <wp:wrapSquare wrapText="bothSides"/>
                  <wp:docPr id="6" name="Picture 6" descr="C:\Users\ZU\Documents\ViberDownloads\0-02-03-e5d8b4f223b4f8907be69825aae82db4ceb66875c73848adfbd92f3c6d5bfdc1_bbd02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Documents\ViberDownloads\0-02-03-e5d8b4f223b4f8907be69825aae82db4ceb66875c73848adfbd92f3c6d5bfdc1_bbd02af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4460"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4997" w:rsidTr="00B64997">
        <w:trPr>
          <w:trHeight w:val="2625"/>
        </w:trPr>
        <w:tc>
          <w:tcPr>
            <w:tcW w:w="4788" w:type="dxa"/>
          </w:tcPr>
          <w:p w:rsidR="00B64997" w:rsidRDefault="00B64997" w:rsidP="00D46604">
            <w:pPr>
              <w:pStyle w:val="NoSpacing"/>
              <w:jc w:val="both"/>
              <w:rPr>
                <w:rFonts w:eastAsia="Calibri"/>
                <w:bCs/>
                <w:sz w:val="24"/>
                <w:szCs w:val="24"/>
              </w:rPr>
            </w:pPr>
            <w:r>
              <w:rPr>
                <w:rFonts w:eastAsia="Calibri"/>
                <w:bCs/>
                <w:sz w:val="24"/>
                <w:szCs w:val="24"/>
              </w:rPr>
              <w:lastRenderedPageBreak/>
              <w:t xml:space="preserve">A workshop was organized on execution and implementation of the ministerial council decree No.39 on fire insurance.  </w:t>
            </w:r>
            <w:r w:rsidRPr="00A1186A">
              <w:rPr>
                <w:rFonts w:eastAsia="Calibri"/>
                <w:bCs/>
                <w:sz w:val="24"/>
                <w:szCs w:val="24"/>
              </w:rPr>
              <w:t xml:space="preserve">Representatives </w:t>
            </w:r>
            <w:r>
              <w:rPr>
                <w:rFonts w:eastAsia="Calibri"/>
                <w:bCs/>
                <w:sz w:val="24"/>
                <w:szCs w:val="24"/>
              </w:rPr>
              <w:t>from</w:t>
            </w:r>
            <w:r w:rsidRPr="00A1186A">
              <w:rPr>
                <w:rFonts w:eastAsia="Calibri"/>
                <w:bCs/>
                <w:sz w:val="24"/>
                <w:szCs w:val="24"/>
              </w:rPr>
              <w:t xml:space="preserve"> 35 </w:t>
            </w:r>
            <w:r>
              <w:rPr>
                <w:rFonts w:eastAsia="Calibri"/>
                <w:bCs/>
                <w:sz w:val="24"/>
                <w:szCs w:val="24"/>
              </w:rPr>
              <w:t xml:space="preserve">sectoral </w:t>
            </w:r>
            <w:r w:rsidRPr="00A1186A">
              <w:rPr>
                <w:rFonts w:eastAsia="Calibri"/>
                <w:bCs/>
                <w:sz w:val="24"/>
                <w:szCs w:val="24"/>
              </w:rPr>
              <w:t xml:space="preserve">departments </w:t>
            </w:r>
            <w:r>
              <w:rPr>
                <w:rFonts w:eastAsia="Calibri"/>
                <w:bCs/>
                <w:sz w:val="24"/>
                <w:szCs w:val="24"/>
              </w:rPr>
              <w:t>responsible for licensing and supervision</w:t>
            </w:r>
            <w:r w:rsidRPr="00A1186A">
              <w:rPr>
                <w:rFonts w:eastAsia="Calibri"/>
                <w:bCs/>
                <w:sz w:val="24"/>
                <w:szCs w:val="24"/>
              </w:rPr>
              <w:t xml:space="preserve">, including the Ministry of </w:t>
            </w:r>
            <w:r>
              <w:rPr>
                <w:rFonts w:eastAsia="Calibri"/>
                <w:bCs/>
                <w:sz w:val="24"/>
                <w:szCs w:val="24"/>
              </w:rPr>
              <w:t>commerce and industries and</w:t>
            </w:r>
            <w:r w:rsidRPr="00A1186A">
              <w:rPr>
                <w:rFonts w:eastAsia="Calibri"/>
                <w:bCs/>
                <w:sz w:val="24"/>
                <w:szCs w:val="24"/>
              </w:rPr>
              <w:t xml:space="preserve"> public and private insurance companies</w:t>
            </w:r>
            <w:r>
              <w:rPr>
                <w:rFonts w:eastAsia="Calibri"/>
                <w:bCs/>
                <w:sz w:val="24"/>
                <w:szCs w:val="24"/>
              </w:rPr>
              <w:t xml:space="preserve"> attended the workshop</w:t>
            </w:r>
            <w:r w:rsidRPr="00A1186A">
              <w:rPr>
                <w:rFonts w:eastAsia="Calibri"/>
                <w:bCs/>
                <w:sz w:val="24"/>
                <w:szCs w:val="24"/>
              </w:rPr>
              <w:t>.</w:t>
            </w:r>
          </w:p>
          <w:p w:rsidR="00B64997" w:rsidRDefault="00B64997" w:rsidP="00B64997">
            <w:pPr>
              <w:rPr>
                <w:rFonts w:asciiTheme="minorHAnsi" w:eastAsia="Calibri" w:hAnsiTheme="minorHAnsi" w:cstheme="minorBidi"/>
                <w:bCs/>
                <w:lang w:val="en-US" w:eastAsia="en-US"/>
              </w:rPr>
            </w:pPr>
          </w:p>
        </w:tc>
        <w:tc>
          <w:tcPr>
            <w:tcW w:w="4788" w:type="dxa"/>
          </w:tcPr>
          <w:p w:rsidR="00B64997" w:rsidRDefault="00B64997" w:rsidP="00A1080F">
            <w:pPr>
              <w:jc w:val="both"/>
              <w:rPr>
                <w:rFonts w:asciiTheme="minorHAnsi" w:eastAsia="Calibri" w:hAnsiTheme="minorHAnsi" w:cstheme="minorBidi"/>
                <w:bCs/>
                <w:lang w:val="en-US" w:eastAsia="en-US"/>
              </w:rPr>
            </w:pPr>
            <w:r>
              <w:rPr>
                <w:noProof/>
                <w:rtl/>
                <w:lang w:val="en-US" w:eastAsia="en-US"/>
              </w:rPr>
              <w:drawing>
                <wp:anchor distT="0" distB="0" distL="114300" distR="114300" simplePos="0" relativeHeight="251675136" behindDoc="1" locked="0" layoutInCell="1" allowOverlap="1" wp14:anchorId="5E413FE5" wp14:editId="083D2749">
                  <wp:simplePos x="0" y="0"/>
                  <wp:positionH relativeFrom="margin">
                    <wp:posOffset>83820</wp:posOffset>
                  </wp:positionH>
                  <wp:positionV relativeFrom="paragraph">
                    <wp:posOffset>55245</wp:posOffset>
                  </wp:positionV>
                  <wp:extent cx="2792095" cy="1828800"/>
                  <wp:effectExtent l="0" t="0" r="8255" b="0"/>
                  <wp:wrapTight wrapText="bothSides">
                    <wp:wrapPolygon edited="0">
                      <wp:start x="0" y="0"/>
                      <wp:lineTo x="0" y="21375"/>
                      <wp:lineTo x="21516" y="21375"/>
                      <wp:lineTo x="21516" y="0"/>
                      <wp:lineTo x="0" y="0"/>
                    </wp:wrapPolygon>
                  </wp:wrapTight>
                  <wp:docPr id="20" name="Picture 3" descr="58381763_2243151115897346_82330334655162613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381763_2243151115897346_8233033465516261376_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2095" cy="1828800"/>
                          </a:xfrm>
                          <a:prstGeom prst="rect">
                            <a:avLst/>
                          </a:prstGeom>
                          <a:noFill/>
                        </pic:spPr>
                      </pic:pic>
                    </a:graphicData>
                  </a:graphic>
                  <wp14:sizeRelH relativeFrom="page">
                    <wp14:pctWidth>0</wp14:pctWidth>
                  </wp14:sizeRelH>
                  <wp14:sizeRelV relativeFrom="page">
                    <wp14:pctHeight>0</wp14:pctHeight>
                  </wp14:sizeRelV>
                </wp:anchor>
              </w:drawing>
            </w:r>
          </w:p>
        </w:tc>
      </w:tr>
      <w:tr w:rsidR="00B64997" w:rsidTr="00B64997">
        <w:tc>
          <w:tcPr>
            <w:tcW w:w="4788" w:type="dxa"/>
          </w:tcPr>
          <w:p w:rsidR="00B64997" w:rsidRDefault="00B64997" w:rsidP="00D46604">
            <w:pPr>
              <w:pStyle w:val="NoSpacing"/>
              <w:jc w:val="both"/>
              <w:rPr>
                <w:rFonts w:eastAsia="Calibri"/>
                <w:bCs/>
                <w:sz w:val="24"/>
                <w:szCs w:val="24"/>
                <w:lang w:bidi="fa-IR"/>
              </w:rPr>
            </w:pPr>
            <w:r>
              <w:rPr>
                <w:rFonts w:eastAsia="Calibri"/>
                <w:bCs/>
                <w:sz w:val="24"/>
                <w:szCs w:val="24"/>
              </w:rPr>
              <w:t xml:space="preserve">Meeting with Kabul municipality for cooperation on </w:t>
            </w:r>
            <w:r>
              <w:rPr>
                <w:rFonts w:eastAsia="Calibri"/>
                <w:bCs/>
                <w:sz w:val="24"/>
                <w:szCs w:val="24"/>
                <w:lang w:bidi="fa-IR"/>
              </w:rPr>
              <w:t>implementation of fire insurance and urging businesses licensed by Kabul Municipality to obtain fire insurance for their establishment as deemed required.</w:t>
            </w:r>
            <w:r w:rsidRPr="006238D9">
              <w:rPr>
                <w:rFonts w:ascii="Calibri" w:eastAsia="Times New Roman" w:hAnsi="Calibri" w:cs="B Zar"/>
                <w:noProof/>
                <w:sz w:val="28"/>
                <w:szCs w:val="28"/>
                <w:rtl/>
              </w:rPr>
              <w:t xml:space="preserve"> </w:t>
            </w:r>
          </w:p>
          <w:p w:rsidR="00B64997" w:rsidRDefault="00B64997" w:rsidP="00A1080F">
            <w:pPr>
              <w:jc w:val="both"/>
              <w:rPr>
                <w:rFonts w:asciiTheme="minorHAnsi" w:eastAsia="Calibri" w:hAnsiTheme="minorHAnsi" w:cstheme="minorBidi"/>
                <w:bCs/>
                <w:lang w:val="en-US" w:eastAsia="en-US"/>
              </w:rPr>
            </w:pPr>
          </w:p>
        </w:tc>
        <w:tc>
          <w:tcPr>
            <w:tcW w:w="4788" w:type="dxa"/>
          </w:tcPr>
          <w:p w:rsidR="00B64997" w:rsidRDefault="00B64997" w:rsidP="00A1080F">
            <w:pPr>
              <w:jc w:val="both"/>
              <w:rPr>
                <w:rFonts w:asciiTheme="minorHAnsi" w:eastAsia="Calibri" w:hAnsiTheme="minorHAnsi" w:cstheme="minorBidi"/>
                <w:bCs/>
                <w:lang w:val="en-US" w:eastAsia="en-US"/>
              </w:rPr>
            </w:pPr>
            <w:r w:rsidRPr="002735F3">
              <w:rPr>
                <w:rFonts w:ascii="Calibri" w:hAnsi="Calibri" w:cs="B Zar"/>
                <w:noProof/>
                <w:sz w:val="28"/>
                <w:szCs w:val="28"/>
                <w:rtl/>
                <w:lang w:val="en-US" w:eastAsia="en-US"/>
              </w:rPr>
              <w:drawing>
                <wp:anchor distT="0" distB="0" distL="114300" distR="114300" simplePos="0" relativeHeight="251677184" behindDoc="1" locked="0" layoutInCell="1" allowOverlap="1" wp14:anchorId="2D18CEFF" wp14:editId="2BC9DE4F">
                  <wp:simplePos x="0" y="0"/>
                  <wp:positionH relativeFrom="column">
                    <wp:posOffset>68580</wp:posOffset>
                  </wp:positionH>
                  <wp:positionV relativeFrom="paragraph">
                    <wp:posOffset>0</wp:posOffset>
                  </wp:positionV>
                  <wp:extent cx="2811780" cy="1847850"/>
                  <wp:effectExtent l="0" t="0" r="7620" b="0"/>
                  <wp:wrapTight wrapText="bothSides">
                    <wp:wrapPolygon edited="0">
                      <wp:start x="0" y="0"/>
                      <wp:lineTo x="0" y="21377"/>
                      <wp:lineTo x="21512" y="21377"/>
                      <wp:lineTo x="21512" y="0"/>
                      <wp:lineTo x="0" y="0"/>
                    </wp:wrapPolygon>
                  </wp:wrapTight>
                  <wp:docPr id="4" name="Picture 4" descr="C:\Users\Amanudd samim\Desktop\60313602_2255185234693934_1038496338821513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udd samim\Desktop\60313602_2255185234693934_1038496338821513216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178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64997" w:rsidTr="00B64997">
        <w:trPr>
          <w:trHeight w:val="3164"/>
        </w:trPr>
        <w:tc>
          <w:tcPr>
            <w:tcW w:w="4788" w:type="dxa"/>
          </w:tcPr>
          <w:p w:rsidR="00B64997" w:rsidRPr="00B64997" w:rsidRDefault="00B64997" w:rsidP="00D46604">
            <w:pPr>
              <w:jc w:val="both"/>
              <w:rPr>
                <w:rFonts w:ascii="Calibri" w:eastAsia="Calibri" w:hAnsi="Calibri" w:cs="Calibri"/>
                <w:bCs/>
                <w:lang w:val="en-US" w:eastAsia="en-US"/>
              </w:rPr>
            </w:pPr>
            <w:r w:rsidRPr="00B64997">
              <w:rPr>
                <w:rFonts w:ascii="Calibri" w:eastAsia="Calibri" w:hAnsi="Calibri" w:cs="Calibri"/>
                <w:bCs/>
              </w:rPr>
              <w:t xml:space="preserve">Meeting the National Office of Preparedness and Combating Disaster </w:t>
            </w:r>
            <w:r w:rsidRPr="00B64997">
              <w:rPr>
                <w:rFonts w:ascii="Calibri" w:eastAsia="Calibri" w:hAnsi="Calibri" w:cs="Calibri"/>
                <w:bCs/>
                <w:lang w:bidi="fa-IR"/>
              </w:rPr>
              <w:t>head of coordination for mine clearance on consolidating efforts between the two sectors in light of use of insurance services and products.</w:t>
            </w:r>
          </w:p>
        </w:tc>
        <w:tc>
          <w:tcPr>
            <w:tcW w:w="4788" w:type="dxa"/>
          </w:tcPr>
          <w:p w:rsidR="00B64997" w:rsidRDefault="00B64997" w:rsidP="00A1080F">
            <w:pPr>
              <w:jc w:val="both"/>
              <w:rPr>
                <w:rFonts w:asciiTheme="minorHAnsi" w:eastAsia="Calibri" w:hAnsiTheme="minorHAnsi" w:cstheme="minorBidi"/>
                <w:bCs/>
                <w:lang w:val="en-US" w:eastAsia="en-US"/>
              </w:rPr>
            </w:pPr>
            <w:r>
              <w:rPr>
                <w:rFonts w:ascii="Calibri" w:hAnsi="Calibri" w:cs="B Zar"/>
                <w:noProof/>
                <w:sz w:val="28"/>
                <w:szCs w:val="28"/>
                <w:rtl/>
                <w:lang w:val="en-US" w:eastAsia="en-US"/>
              </w:rPr>
              <w:drawing>
                <wp:anchor distT="0" distB="0" distL="114300" distR="114300" simplePos="0" relativeHeight="251683328" behindDoc="1" locked="0" layoutInCell="1" allowOverlap="1" wp14:anchorId="7A625616" wp14:editId="298D7E95">
                  <wp:simplePos x="0" y="0"/>
                  <wp:positionH relativeFrom="column">
                    <wp:posOffset>71120</wp:posOffset>
                  </wp:positionH>
                  <wp:positionV relativeFrom="paragraph">
                    <wp:posOffset>91440</wp:posOffset>
                  </wp:positionV>
                  <wp:extent cx="2811780" cy="1818640"/>
                  <wp:effectExtent l="0" t="0" r="7620" b="0"/>
                  <wp:wrapTight wrapText="bothSides">
                    <wp:wrapPolygon edited="0">
                      <wp:start x="0" y="0"/>
                      <wp:lineTo x="0" y="21268"/>
                      <wp:lineTo x="21512" y="21268"/>
                      <wp:lineTo x="215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1780" cy="1818640"/>
                          </a:xfrm>
                          <a:prstGeom prst="rect">
                            <a:avLst/>
                          </a:prstGeom>
                          <a:noFill/>
                        </pic:spPr>
                      </pic:pic>
                    </a:graphicData>
                  </a:graphic>
                  <wp14:sizeRelH relativeFrom="margin">
                    <wp14:pctWidth>0</wp14:pctWidth>
                  </wp14:sizeRelH>
                  <wp14:sizeRelV relativeFrom="margin">
                    <wp14:pctHeight>0</wp14:pctHeight>
                  </wp14:sizeRelV>
                </wp:anchor>
              </w:drawing>
            </w:r>
          </w:p>
        </w:tc>
      </w:tr>
      <w:tr w:rsidR="00B64997" w:rsidTr="00B64997">
        <w:tc>
          <w:tcPr>
            <w:tcW w:w="4788" w:type="dxa"/>
          </w:tcPr>
          <w:p w:rsidR="00D46604" w:rsidRDefault="00D46604" w:rsidP="00B64997">
            <w:pPr>
              <w:pStyle w:val="NoSpacing"/>
              <w:rPr>
                <w:rFonts w:eastAsia="Calibri"/>
                <w:bCs/>
                <w:sz w:val="24"/>
                <w:szCs w:val="24"/>
                <w:lang w:bidi="fa-IR"/>
              </w:rPr>
            </w:pPr>
          </w:p>
          <w:p w:rsidR="00B64997" w:rsidRDefault="00B64997" w:rsidP="00B64997">
            <w:pPr>
              <w:pStyle w:val="NoSpacing"/>
              <w:rPr>
                <w:rFonts w:eastAsia="Calibri"/>
                <w:bCs/>
                <w:sz w:val="24"/>
                <w:szCs w:val="24"/>
                <w:lang w:bidi="fa-IR"/>
              </w:rPr>
            </w:pPr>
            <w:r>
              <w:rPr>
                <w:rFonts w:eastAsia="Calibri"/>
                <w:bCs/>
                <w:sz w:val="24"/>
                <w:szCs w:val="24"/>
                <w:lang w:bidi="fa-IR"/>
              </w:rPr>
              <w:t xml:space="preserve">Meeting with the Second political division of </w:t>
            </w:r>
          </w:p>
          <w:p w:rsidR="00B64997" w:rsidRDefault="00B64997" w:rsidP="00B64997">
            <w:pPr>
              <w:pStyle w:val="NoSpacing"/>
              <w:rPr>
                <w:rFonts w:eastAsia="Calibri"/>
                <w:bCs/>
                <w:sz w:val="24"/>
                <w:szCs w:val="24"/>
                <w:lang w:bidi="fa-IR"/>
              </w:rPr>
            </w:pPr>
            <w:r>
              <w:rPr>
                <w:rFonts w:eastAsia="Calibri"/>
                <w:bCs/>
                <w:sz w:val="24"/>
                <w:szCs w:val="24"/>
                <w:lang w:bidi="fa-IR"/>
              </w:rPr>
              <w:t>Ministry of Foreign Affairs (MoFA) i</w:t>
            </w:r>
            <w:r w:rsidRPr="00702876">
              <w:rPr>
                <w:rFonts w:eastAsia="Calibri"/>
                <w:bCs/>
                <w:sz w:val="24"/>
                <w:szCs w:val="24"/>
                <w:lang w:bidi="fa-IR"/>
              </w:rPr>
              <w:t xml:space="preserve">n order to </w:t>
            </w:r>
          </w:p>
          <w:p w:rsidR="00B64997" w:rsidRDefault="00B64997" w:rsidP="00B64997">
            <w:pPr>
              <w:pStyle w:val="NoSpacing"/>
              <w:rPr>
                <w:rFonts w:eastAsia="Calibri"/>
                <w:bCs/>
                <w:sz w:val="24"/>
                <w:szCs w:val="24"/>
                <w:lang w:bidi="fa-IR"/>
              </w:rPr>
            </w:pPr>
            <w:r w:rsidRPr="00702876">
              <w:rPr>
                <w:rFonts w:eastAsia="Calibri"/>
                <w:bCs/>
                <w:sz w:val="24"/>
                <w:szCs w:val="24"/>
                <w:lang w:bidi="fa-IR"/>
              </w:rPr>
              <w:t>establish bilateral cooperation with</w:t>
            </w:r>
            <w:r>
              <w:rPr>
                <w:rFonts w:eastAsia="Calibri"/>
                <w:bCs/>
                <w:sz w:val="24"/>
                <w:szCs w:val="24"/>
                <w:lang w:bidi="fa-IR"/>
              </w:rPr>
              <w:t xml:space="preserve"> regional </w:t>
            </w:r>
          </w:p>
          <w:p w:rsidR="00B64997" w:rsidRPr="00B64997" w:rsidRDefault="00B64997" w:rsidP="00B64997">
            <w:pPr>
              <w:jc w:val="both"/>
              <w:rPr>
                <w:rFonts w:asciiTheme="minorHAnsi" w:eastAsia="Calibri" w:hAnsiTheme="minorHAnsi" w:cstheme="minorHAnsi"/>
                <w:bCs/>
                <w:lang w:val="en-US" w:eastAsia="en-US"/>
              </w:rPr>
            </w:pPr>
            <w:r w:rsidRPr="00B64997">
              <w:rPr>
                <w:rFonts w:asciiTheme="minorHAnsi" w:eastAsia="Calibri" w:hAnsiTheme="minorHAnsi" w:cstheme="minorHAnsi"/>
                <w:bCs/>
                <w:lang w:bidi="fa-IR"/>
              </w:rPr>
              <w:t>insurance departments.</w:t>
            </w:r>
          </w:p>
        </w:tc>
        <w:tc>
          <w:tcPr>
            <w:tcW w:w="4788" w:type="dxa"/>
          </w:tcPr>
          <w:p w:rsidR="00B64997" w:rsidRDefault="00B64997" w:rsidP="00A1080F">
            <w:pPr>
              <w:jc w:val="both"/>
              <w:rPr>
                <w:rFonts w:asciiTheme="minorHAnsi" w:eastAsia="Calibri" w:hAnsiTheme="minorHAnsi" w:cstheme="minorBidi"/>
                <w:bCs/>
                <w:lang w:val="en-US" w:eastAsia="en-US"/>
              </w:rPr>
            </w:pPr>
          </w:p>
          <w:p w:rsidR="00B64997" w:rsidRDefault="00B64997" w:rsidP="00B64997">
            <w:pPr>
              <w:jc w:val="center"/>
              <w:rPr>
                <w:rFonts w:asciiTheme="minorHAnsi" w:eastAsia="Calibri" w:hAnsiTheme="minorHAnsi" w:cstheme="minorBidi"/>
                <w:bCs/>
                <w:lang w:val="en-US" w:eastAsia="en-US"/>
              </w:rPr>
            </w:pPr>
            <w:r>
              <w:rPr>
                <w:rFonts w:asciiTheme="minorHAnsi" w:eastAsia="Calibri" w:hAnsiTheme="minorHAnsi" w:cstheme="minorBidi"/>
                <w:bCs/>
                <w:noProof/>
                <w:lang w:val="en-US" w:eastAsia="en-US"/>
              </w:rPr>
              <w:lastRenderedPageBreak/>
              <w:drawing>
                <wp:inline distT="0" distB="0" distL="0" distR="0" wp14:anchorId="343DE5E2" wp14:editId="45A8DB14">
                  <wp:extent cx="2674852" cy="17375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1.png"/>
                          <pic:cNvPicPr/>
                        </pic:nvPicPr>
                        <pic:blipFill>
                          <a:blip r:embed="rId29">
                            <a:extLst>
                              <a:ext uri="{28A0092B-C50C-407E-A947-70E740481C1C}">
                                <a14:useLocalDpi xmlns:a14="http://schemas.microsoft.com/office/drawing/2010/main" val="0"/>
                              </a:ext>
                            </a:extLst>
                          </a:blip>
                          <a:stretch>
                            <a:fillRect/>
                          </a:stretch>
                        </pic:blipFill>
                        <pic:spPr>
                          <a:xfrm>
                            <a:off x="0" y="0"/>
                            <a:ext cx="2674852" cy="1737511"/>
                          </a:xfrm>
                          <a:prstGeom prst="rect">
                            <a:avLst/>
                          </a:prstGeom>
                        </pic:spPr>
                      </pic:pic>
                    </a:graphicData>
                  </a:graphic>
                </wp:inline>
              </w:drawing>
            </w:r>
          </w:p>
          <w:p w:rsidR="00B64997" w:rsidRDefault="00B64997" w:rsidP="00A1080F">
            <w:pPr>
              <w:jc w:val="both"/>
              <w:rPr>
                <w:rFonts w:asciiTheme="minorHAnsi" w:eastAsia="Calibri" w:hAnsiTheme="minorHAnsi" w:cstheme="minorBidi"/>
                <w:bCs/>
                <w:lang w:val="en-US" w:eastAsia="en-US"/>
              </w:rPr>
            </w:pPr>
          </w:p>
        </w:tc>
      </w:tr>
      <w:tr w:rsidR="00B64997" w:rsidTr="00B64997">
        <w:tc>
          <w:tcPr>
            <w:tcW w:w="4788" w:type="dxa"/>
          </w:tcPr>
          <w:p w:rsidR="00B64997" w:rsidRPr="00B64997" w:rsidRDefault="00B64997" w:rsidP="00D46604">
            <w:pPr>
              <w:pStyle w:val="NoSpacing"/>
              <w:jc w:val="both"/>
              <w:rPr>
                <w:rFonts w:ascii="Calibri" w:eastAsia="Times New Roman" w:hAnsi="Calibri" w:cs="B Zar"/>
                <w:noProof/>
                <w:sz w:val="28"/>
                <w:szCs w:val="28"/>
              </w:rPr>
            </w:pPr>
            <w:r>
              <w:rPr>
                <w:rFonts w:eastAsia="Calibri"/>
                <w:bCs/>
                <w:sz w:val="24"/>
                <w:szCs w:val="24"/>
              </w:rPr>
              <w:lastRenderedPageBreak/>
              <w:t>Meeting with Central Insurance of Islamic Republic of Iran w</w:t>
            </w:r>
            <w:r w:rsidRPr="002C2C7A">
              <w:rPr>
                <w:rFonts w:eastAsia="Calibri"/>
                <w:bCs/>
                <w:sz w:val="24"/>
                <w:szCs w:val="24"/>
              </w:rPr>
              <w:t>ith the aim of developing bil</w:t>
            </w:r>
            <w:r>
              <w:rPr>
                <w:rFonts w:eastAsia="Calibri"/>
                <w:bCs/>
                <w:sz w:val="24"/>
                <w:szCs w:val="24"/>
              </w:rPr>
              <w:t>ateral cooperation in the field of insurance by</w:t>
            </w:r>
            <w:r w:rsidRPr="002C2C7A">
              <w:rPr>
                <w:rFonts w:eastAsia="Calibri"/>
                <w:bCs/>
                <w:sz w:val="24"/>
                <w:szCs w:val="24"/>
              </w:rPr>
              <w:t xml:space="preserve"> exchanging experiences and sharing insurance information, launching capacity building programs, addressing existing insurance problems between the two countries, providing the necessary facilities for Afghan entrepreneurs to invest and insure activities in the territ</w:t>
            </w:r>
            <w:r>
              <w:rPr>
                <w:rFonts w:eastAsia="Calibri"/>
                <w:bCs/>
                <w:sz w:val="24"/>
                <w:szCs w:val="24"/>
              </w:rPr>
              <w:t>ory of</w:t>
            </w:r>
            <w:r w:rsidRPr="002C2C7A">
              <w:rPr>
                <w:rFonts w:eastAsia="Calibri"/>
                <w:bCs/>
                <w:sz w:val="24"/>
                <w:szCs w:val="24"/>
              </w:rPr>
              <w:t xml:space="preserve"> Iran</w:t>
            </w:r>
            <w:r>
              <w:rPr>
                <w:rFonts w:eastAsia="Calibri"/>
                <w:bCs/>
                <w:sz w:val="24"/>
                <w:szCs w:val="24"/>
              </w:rPr>
              <w:t>.</w:t>
            </w:r>
            <w:r w:rsidRPr="00056715">
              <w:rPr>
                <w:rFonts w:ascii="Calibri" w:eastAsia="Times New Roman" w:hAnsi="Calibri" w:cs="B Zar"/>
                <w:noProof/>
                <w:sz w:val="28"/>
                <w:szCs w:val="28"/>
              </w:rPr>
              <w:t xml:space="preserve"> </w:t>
            </w:r>
          </w:p>
        </w:tc>
        <w:tc>
          <w:tcPr>
            <w:tcW w:w="4788" w:type="dxa"/>
          </w:tcPr>
          <w:p w:rsidR="00B64997" w:rsidRDefault="00B64997" w:rsidP="00A1080F">
            <w:pPr>
              <w:jc w:val="both"/>
              <w:rPr>
                <w:rFonts w:asciiTheme="minorHAnsi" w:eastAsia="Calibri" w:hAnsiTheme="minorHAnsi" w:cstheme="minorBidi"/>
                <w:bCs/>
                <w:lang w:val="en-US" w:eastAsia="en-US"/>
              </w:rPr>
            </w:pPr>
            <w:r>
              <w:rPr>
                <w:rFonts w:ascii="Calibri" w:hAnsi="Calibri" w:cs="B Zar"/>
                <w:noProof/>
                <w:sz w:val="28"/>
                <w:szCs w:val="28"/>
                <w:lang w:val="en-US" w:eastAsia="en-US"/>
              </w:rPr>
              <w:drawing>
                <wp:anchor distT="0" distB="0" distL="114300" distR="114300" simplePos="0" relativeHeight="251685376" behindDoc="1" locked="0" layoutInCell="1" allowOverlap="1" wp14:anchorId="79E96F25" wp14:editId="0B59D954">
                  <wp:simplePos x="0" y="0"/>
                  <wp:positionH relativeFrom="column">
                    <wp:posOffset>101600</wp:posOffset>
                  </wp:positionH>
                  <wp:positionV relativeFrom="paragraph">
                    <wp:posOffset>73025</wp:posOffset>
                  </wp:positionV>
                  <wp:extent cx="2736850" cy="1838325"/>
                  <wp:effectExtent l="0" t="0" r="6350" b="9525"/>
                  <wp:wrapTight wrapText="bothSides">
                    <wp:wrapPolygon edited="0">
                      <wp:start x="0" y="0"/>
                      <wp:lineTo x="0" y="21488"/>
                      <wp:lineTo x="21500" y="21488"/>
                      <wp:lineTo x="215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6850" cy="1838325"/>
                          </a:xfrm>
                          <a:prstGeom prst="rect">
                            <a:avLst/>
                          </a:prstGeom>
                          <a:noFill/>
                        </pic:spPr>
                      </pic:pic>
                    </a:graphicData>
                  </a:graphic>
                  <wp14:sizeRelH relativeFrom="margin">
                    <wp14:pctWidth>0</wp14:pctWidth>
                  </wp14:sizeRelH>
                  <wp14:sizeRelV relativeFrom="margin">
                    <wp14:pctHeight>0</wp14:pctHeight>
                  </wp14:sizeRelV>
                </wp:anchor>
              </w:drawing>
            </w:r>
          </w:p>
        </w:tc>
      </w:tr>
      <w:tr w:rsidR="00B64997" w:rsidTr="00B64997">
        <w:tc>
          <w:tcPr>
            <w:tcW w:w="4788" w:type="dxa"/>
          </w:tcPr>
          <w:p w:rsidR="00B64997" w:rsidRDefault="00B64997" w:rsidP="00D46604">
            <w:pPr>
              <w:pStyle w:val="NoSpacing"/>
              <w:jc w:val="both"/>
              <w:rPr>
                <w:rFonts w:eastAsia="Calibri"/>
                <w:bCs/>
                <w:sz w:val="24"/>
                <w:szCs w:val="24"/>
              </w:rPr>
            </w:pPr>
            <w:r w:rsidRPr="00056715">
              <w:rPr>
                <w:rFonts w:eastAsia="Calibri"/>
                <w:bCs/>
                <w:sz w:val="24"/>
                <w:szCs w:val="24"/>
              </w:rPr>
              <w:t>Workshops with stakeholders and relevant departments for obtaining feedback on Off</w:t>
            </w:r>
            <w:r>
              <w:rPr>
                <w:rFonts w:eastAsia="Calibri"/>
                <w:bCs/>
                <w:sz w:val="24"/>
                <w:szCs w:val="24"/>
              </w:rPr>
              <w:t xml:space="preserve">site and </w:t>
            </w:r>
            <w:r w:rsidRPr="00056715">
              <w:rPr>
                <w:rFonts w:eastAsia="Calibri"/>
                <w:bCs/>
                <w:sz w:val="24"/>
                <w:szCs w:val="24"/>
              </w:rPr>
              <w:t>Onsite inspection manuals and guideline for licensing</w:t>
            </w:r>
            <w:r>
              <w:rPr>
                <w:rFonts w:eastAsia="Calibri"/>
                <w:bCs/>
                <w:sz w:val="24"/>
                <w:szCs w:val="24"/>
              </w:rPr>
              <w:t xml:space="preserve"> procedure</w:t>
            </w:r>
            <w:r w:rsidRPr="00056715">
              <w:rPr>
                <w:rFonts w:eastAsia="Calibri"/>
                <w:bCs/>
                <w:sz w:val="24"/>
                <w:szCs w:val="24"/>
              </w:rPr>
              <w:t>.</w:t>
            </w:r>
            <w:r>
              <w:rPr>
                <w:rFonts w:ascii="Calibri" w:eastAsia="Times New Roman" w:hAnsi="Calibri" w:cs="B Zar"/>
                <w:noProof/>
                <w:sz w:val="28"/>
                <w:szCs w:val="28"/>
              </w:rPr>
              <w:t xml:space="preserve"> </w:t>
            </w:r>
          </w:p>
          <w:p w:rsidR="00B64997" w:rsidRDefault="00B64997" w:rsidP="00A1080F">
            <w:pPr>
              <w:jc w:val="both"/>
              <w:rPr>
                <w:rFonts w:asciiTheme="minorHAnsi" w:eastAsia="Calibri" w:hAnsiTheme="minorHAnsi" w:cstheme="minorBidi"/>
                <w:bCs/>
                <w:lang w:val="en-US" w:eastAsia="en-US"/>
              </w:rPr>
            </w:pPr>
          </w:p>
        </w:tc>
        <w:tc>
          <w:tcPr>
            <w:tcW w:w="4788" w:type="dxa"/>
          </w:tcPr>
          <w:p w:rsidR="00B64997" w:rsidRDefault="00B64997" w:rsidP="00A1080F">
            <w:pPr>
              <w:jc w:val="both"/>
              <w:rPr>
                <w:rFonts w:asciiTheme="minorHAnsi" w:eastAsia="Calibri" w:hAnsiTheme="minorHAnsi" w:cstheme="minorBidi"/>
                <w:bCs/>
                <w:lang w:val="en-US" w:eastAsia="en-US"/>
              </w:rPr>
            </w:pPr>
            <w:r>
              <w:rPr>
                <w:rFonts w:ascii="Calibri" w:hAnsi="Calibri" w:cs="B Zar"/>
                <w:noProof/>
                <w:lang w:val="en-US" w:eastAsia="en-US"/>
              </w:rPr>
              <w:drawing>
                <wp:anchor distT="0" distB="0" distL="114300" distR="114300" simplePos="0" relativeHeight="251687424" behindDoc="1" locked="0" layoutInCell="1" allowOverlap="1" wp14:anchorId="10F31ACC" wp14:editId="5957CF30">
                  <wp:simplePos x="0" y="0"/>
                  <wp:positionH relativeFrom="column">
                    <wp:posOffset>71755</wp:posOffset>
                  </wp:positionH>
                  <wp:positionV relativeFrom="paragraph">
                    <wp:posOffset>53340</wp:posOffset>
                  </wp:positionV>
                  <wp:extent cx="2798445" cy="2007870"/>
                  <wp:effectExtent l="0" t="0" r="1905" b="0"/>
                  <wp:wrapTight wrapText="bothSides">
                    <wp:wrapPolygon edited="0">
                      <wp:start x="0" y="0"/>
                      <wp:lineTo x="0" y="21313"/>
                      <wp:lineTo x="21468" y="21313"/>
                      <wp:lineTo x="2146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8445" cy="2007870"/>
                          </a:xfrm>
                          <a:prstGeom prst="rect">
                            <a:avLst/>
                          </a:prstGeom>
                          <a:noFill/>
                        </pic:spPr>
                      </pic:pic>
                    </a:graphicData>
                  </a:graphic>
                  <wp14:sizeRelH relativeFrom="margin">
                    <wp14:pctWidth>0</wp14:pctWidth>
                  </wp14:sizeRelH>
                  <wp14:sizeRelV relativeFrom="margin">
                    <wp14:pctHeight>0</wp14:pctHeight>
                  </wp14:sizeRelV>
                </wp:anchor>
              </w:drawing>
            </w:r>
          </w:p>
        </w:tc>
      </w:tr>
      <w:tr w:rsidR="00B64997" w:rsidTr="00B64997">
        <w:tc>
          <w:tcPr>
            <w:tcW w:w="4788" w:type="dxa"/>
          </w:tcPr>
          <w:p w:rsidR="00574D1C" w:rsidRDefault="00574D1C" w:rsidP="00D46604">
            <w:pPr>
              <w:pStyle w:val="NoSpacing"/>
              <w:jc w:val="both"/>
              <w:rPr>
                <w:rFonts w:eastAsia="Calibri"/>
                <w:bCs/>
                <w:sz w:val="24"/>
                <w:szCs w:val="24"/>
              </w:rPr>
            </w:pPr>
            <w:r>
              <w:rPr>
                <w:rFonts w:eastAsia="Calibri"/>
                <w:bCs/>
                <w:sz w:val="24"/>
                <w:szCs w:val="24"/>
              </w:rPr>
              <w:lastRenderedPageBreak/>
              <w:t>Public awareness programs</w:t>
            </w:r>
          </w:p>
          <w:p w:rsidR="00574D1C" w:rsidRDefault="00574D1C" w:rsidP="00D46604">
            <w:pPr>
              <w:pStyle w:val="NoSpacing"/>
              <w:jc w:val="both"/>
              <w:rPr>
                <w:rFonts w:eastAsia="Calibri"/>
                <w:bCs/>
                <w:sz w:val="24"/>
                <w:szCs w:val="24"/>
              </w:rPr>
            </w:pPr>
          </w:p>
          <w:p w:rsidR="00574D1C" w:rsidRDefault="00574D1C" w:rsidP="00D46604">
            <w:pPr>
              <w:pStyle w:val="NoSpacing"/>
              <w:jc w:val="both"/>
              <w:rPr>
                <w:rFonts w:eastAsia="Calibri"/>
                <w:bCs/>
                <w:sz w:val="24"/>
                <w:szCs w:val="24"/>
              </w:rPr>
            </w:pPr>
            <w:r>
              <w:rPr>
                <w:rFonts w:eastAsia="Calibri"/>
                <w:bCs/>
                <w:sz w:val="24"/>
                <w:szCs w:val="24"/>
              </w:rPr>
              <w:t>As part of responsibilities on shoulders of GDIA is enhancing insurance literature and making the public aware of benefits of insurance, the GDIA has conducted numerous workshops for stakeholders, government entities, educational sector, traders and other sectors in Kabul and major cities of Kandahar, Mazar, Herat and Nangarhar provinces. Some are highlighted below;</w:t>
            </w:r>
          </w:p>
          <w:p w:rsidR="00574D1C" w:rsidRDefault="00574D1C" w:rsidP="00D46604">
            <w:pPr>
              <w:pStyle w:val="NoSpacing"/>
              <w:jc w:val="both"/>
              <w:rPr>
                <w:rFonts w:eastAsia="Calibri"/>
                <w:bCs/>
                <w:sz w:val="24"/>
                <w:szCs w:val="24"/>
              </w:rPr>
            </w:pPr>
          </w:p>
          <w:p w:rsidR="00574D1C" w:rsidRPr="00E97B8E" w:rsidRDefault="00574D1C" w:rsidP="00D46604">
            <w:pPr>
              <w:pStyle w:val="NoSpacing"/>
              <w:numPr>
                <w:ilvl w:val="0"/>
                <w:numId w:val="15"/>
              </w:numPr>
              <w:jc w:val="both"/>
              <w:rPr>
                <w:rFonts w:eastAsia="Calibri"/>
                <w:bCs/>
                <w:sz w:val="24"/>
                <w:szCs w:val="24"/>
              </w:rPr>
            </w:pPr>
            <w:r w:rsidRPr="00E97B8E">
              <w:rPr>
                <w:rFonts w:eastAsia="Calibri"/>
                <w:bCs/>
                <w:sz w:val="24"/>
                <w:szCs w:val="24"/>
              </w:rPr>
              <w:t xml:space="preserve">At </w:t>
            </w:r>
            <w:r>
              <w:rPr>
                <w:rFonts w:eastAsia="Calibri"/>
                <w:bCs/>
                <w:sz w:val="24"/>
                <w:szCs w:val="24"/>
              </w:rPr>
              <w:t xml:space="preserve">the </w:t>
            </w:r>
            <w:r w:rsidRPr="00E97B8E">
              <w:rPr>
                <w:rFonts w:eastAsia="Calibri"/>
                <w:bCs/>
                <w:sz w:val="24"/>
                <w:szCs w:val="24"/>
              </w:rPr>
              <w:t xml:space="preserve">DMC mine clearance  </w:t>
            </w:r>
          </w:p>
          <w:p w:rsidR="00574D1C" w:rsidRDefault="00574D1C" w:rsidP="00D46604">
            <w:pPr>
              <w:pStyle w:val="NoSpacing"/>
              <w:numPr>
                <w:ilvl w:val="0"/>
                <w:numId w:val="15"/>
              </w:numPr>
              <w:jc w:val="both"/>
              <w:rPr>
                <w:rFonts w:eastAsia="Calibri"/>
                <w:bCs/>
                <w:sz w:val="24"/>
                <w:szCs w:val="24"/>
              </w:rPr>
            </w:pPr>
            <w:r>
              <w:rPr>
                <w:rFonts w:eastAsia="Calibri"/>
                <w:bCs/>
                <w:sz w:val="24"/>
                <w:szCs w:val="24"/>
              </w:rPr>
              <w:t>For the private-owned universities</w:t>
            </w:r>
          </w:p>
          <w:p w:rsidR="00574D1C" w:rsidRDefault="00574D1C" w:rsidP="00D46604">
            <w:pPr>
              <w:pStyle w:val="NoSpacing"/>
              <w:numPr>
                <w:ilvl w:val="0"/>
                <w:numId w:val="15"/>
              </w:numPr>
              <w:jc w:val="both"/>
              <w:rPr>
                <w:rFonts w:eastAsia="Calibri"/>
                <w:bCs/>
                <w:sz w:val="24"/>
                <w:szCs w:val="24"/>
              </w:rPr>
            </w:pPr>
            <w:r>
              <w:rPr>
                <w:rFonts w:eastAsia="Calibri"/>
                <w:bCs/>
                <w:sz w:val="24"/>
                <w:szCs w:val="24"/>
              </w:rPr>
              <w:t>For the Kabul Municipality</w:t>
            </w:r>
          </w:p>
          <w:p w:rsidR="00574D1C" w:rsidRDefault="00574D1C" w:rsidP="00D46604">
            <w:pPr>
              <w:pStyle w:val="NoSpacing"/>
              <w:numPr>
                <w:ilvl w:val="0"/>
                <w:numId w:val="15"/>
              </w:numPr>
              <w:jc w:val="both"/>
              <w:rPr>
                <w:rFonts w:eastAsia="Calibri"/>
                <w:bCs/>
                <w:sz w:val="24"/>
                <w:szCs w:val="24"/>
              </w:rPr>
            </w:pPr>
            <w:r>
              <w:rPr>
                <w:rFonts w:eastAsia="Calibri"/>
                <w:bCs/>
                <w:sz w:val="24"/>
                <w:szCs w:val="24"/>
              </w:rPr>
              <w:t>For the Ariana Afghan Airline Directorate</w:t>
            </w:r>
          </w:p>
          <w:p w:rsidR="00574D1C" w:rsidRDefault="00574D1C" w:rsidP="00D46604">
            <w:pPr>
              <w:pStyle w:val="NoSpacing"/>
              <w:numPr>
                <w:ilvl w:val="0"/>
                <w:numId w:val="15"/>
              </w:numPr>
              <w:jc w:val="both"/>
              <w:rPr>
                <w:rFonts w:eastAsia="Calibri"/>
                <w:bCs/>
                <w:sz w:val="24"/>
                <w:szCs w:val="24"/>
              </w:rPr>
            </w:pPr>
            <w:r>
              <w:rPr>
                <w:rFonts w:eastAsia="Calibri"/>
                <w:bCs/>
                <w:sz w:val="24"/>
                <w:szCs w:val="24"/>
              </w:rPr>
              <w:t xml:space="preserve">At the Central Bank </w:t>
            </w:r>
          </w:p>
          <w:p w:rsidR="00574D1C" w:rsidRPr="00574D1C" w:rsidRDefault="00574D1C" w:rsidP="00D46604">
            <w:pPr>
              <w:pStyle w:val="NoSpacing"/>
              <w:numPr>
                <w:ilvl w:val="0"/>
                <w:numId w:val="15"/>
              </w:numPr>
              <w:jc w:val="both"/>
              <w:rPr>
                <w:rFonts w:eastAsia="Calibri"/>
                <w:bCs/>
                <w:sz w:val="24"/>
                <w:szCs w:val="24"/>
              </w:rPr>
            </w:pPr>
            <w:r w:rsidRPr="00574D1C">
              <w:rPr>
                <w:rFonts w:eastAsia="Calibri"/>
                <w:bCs/>
                <w:sz w:val="24"/>
                <w:szCs w:val="24"/>
              </w:rPr>
              <w:t xml:space="preserve">At the Afghanistan Banks Association for the </w:t>
            </w:r>
            <w:r>
              <w:rPr>
                <w:rFonts w:eastAsia="Calibri"/>
                <w:bCs/>
                <w:sz w:val="24"/>
                <w:szCs w:val="24"/>
              </w:rPr>
              <w:t>b</w:t>
            </w:r>
            <w:r w:rsidRPr="00574D1C">
              <w:rPr>
                <w:rFonts w:eastAsia="Calibri"/>
                <w:bCs/>
                <w:sz w:val="24"/>
                <w:szCs w:val="24"/>
              </w:rPr>
              <w:t>anking sector</w:t>
            </w:r>
          </w:p>
          <w:p w:rsidR="00574D1C" w:rsidRPr="00574D1C" w:rsidRDefault="00574D1C" w:rsidP="00D46604">
            <w:pPr>
              <w:pStyle w:val="NoSpacing"/>
              <w:numPr>
                <w:ilvl w:val="0"/>
                <w:numId w:val="15"/>
              </w:numPr>
              <w:jc w:val="both"/>
              <w:rPr>
                <w:rFonts w:eastAsia="Calibri"/>
                <w:bCs/>
                <w:sz w:val="24"/>
                <w:szCs w:val="24"/>
              </w:rPr>
            </w:pPr>
            <w:r w:rsidRPr="00574D1C">
              <w:rPr>
                <w:rFonts w:eastAsia="Calibri"/>
                <w:bCs/>
                <w:sz w:val="24"/>
                <w:szCs w:val="24"/>
              </w:rPr>
              <w:t xml:space="preserve">At the Afghanistan Chamber of Commerce and Industries (ACCI) and </w:t>
            </w:r>
          </w:p>
          <w:p w:rsidR="00B64997" w:rsidRDefault="00574D1C" w:rsidP="00D46604">
            <w:pPr>
              <w:pStyle w:val="NoSpacing"/>
              <w:numPr>
                <w:ilvl w:val="0"/>
                <w:numId w:val="15"/>
              </w:numPr>
              <w:jc w:val="both"/>
              <w:rPr>
                <w:rFonts w:eastAsia="Calibri"/>
                <w:bCs/>
                <w:sz w:val="24"/>
                <w:szCs w:val="24"/>
              </w:rPr>
            </w:pPr>
            <w:r>
              <w:rPr>
                <w:rFonts w:eastAsia="Calibri"/>
                <w:bCs/>
                <w:sz w:val="24"/>
                <w:szCs w:val="24"/>
              </w:rPr>
              <w:t>At Ministry of Transport</w:t>
            </w:r>
          </w:p>
          <w:p w:rsidR="00574D1C" w:rsidRPr="00574D1C" w:rsidRDefault="00574D1C" w:rsidP="00D46604">
            <w:pPr>
              <w:pStyle w:val="NoSpacing"/>
              <w:jc w:val="both"/>
              <w:rPr>
                <w:rFonts w:eastAsia="Calibri"/>
                <w:bCs/>
                <w:sz w:val="24"/>
                <w:szCs w:val="24"/>
              </w:rPr>
            </w:pPr>
          </w:p>
        </w:tc>
        <w:tc>
          <w:tcPr>
            <w:tcW w:w="4788" w:type="dxa"/>
          </w:tcPr>
          <w:p w:rsidR="00B64997" w:rsidRDefault="00574D1C" w:rsidP="00574D1C">
            <w:pPr>
              <w:jc w:val="center"/>
              <w:rPr>
                <w:rFonts w:asciiTheme="minorHAnsi" w:eastAsia="Calibri" w:hAnsiTheme="minorHAnsi" w:cstheme="minorBidi"/>
                <w:bCs/>
                <w:lang w:val="en-US" w:eastAsia="en-US"/>
              </w:rPr>
            </w:pPr>
            <w:r>
              <w:rPr>
                <w:rFonts w:asciiTheme="minorHAnsi" w:eastAsia="Calibri" w:hAnsiTheme="minorHAnsi" w:cstheme="minorBidi"/>
                <w:bCs/>
                <w:noProof/>
                <w:lang w:val="en-US" w:eastAsia="en-US"/>
              </w:rPr>
              <w:drawing>
                <wp:inline distT="0" distB="0" distL="0" distR="0" wp14:anchorId="18B43E6E" wp14:editId="55CBBB35">
                  <wp:extent cx="2712926" cy="187817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2.png"/>
                          <pic:cNvPicPr/>
                        </pic:nvPicPr>
                        <pic:blipFill>
                          <a:blip r:embed="rId32">
                            <a:extLst>
                              <a:ext uri="{28A0092B-C50C-407E-A947-70E740481C1C}">
                                <a14:useLocalDpi xmlns:a14="http://schemas.microsoft.com/office/drawing/2010/main" val="0"/>
                              </a:ext>
                            </a:extLst>
                          </a:blip>
                          <a:stretch>
                            <a:fillRect/>
                          </a:stretch>
                        </pic:blipFill>
                        <pic:spPr>
                          <a:xfrm>
                            <a:off x="0" y="0"/>
                            <a:ext cx="2717866" cy="1881599"/>
                          </a:xfrm>
                          <a:prstGeom prst="rect">
                            <a:avLst/>
                          </a:prstGeom>
                        </pic:spPr>
                      </pic:pic>
                    </a:graphicData>
                  </a:graphic>
                </wp:inline>
              </w:drawing>
            </w:r>
          </w:p>
          <w:p w:rsidR="00574D1C" w:rsidRDefault="00574D1C" w:rsidP="00574D1C">
            <w:pPr>
              <w:jc w:val="center"/>
              <w:rPr>
                <w:rFonts w:asciiTheme="minorHAnsi" w:eastAsia="Calibri" w:hAnsiTheme="minorHAnsi" w:cstheme="minorBidi"/>
                <w:bCs/>
                <w:lang w:val="en-US" w:eastAsia="en-US"/>
              </w:rPr>
            </w:pPr>
            <w:r>
              <w:rPr>
                <w:rFonts w:asciiTheme="minorHAnsi" w:eastAsia="Calibri" w:hAnsiTheme="minorHAnsi" w:cstheme="minorBidi"/>
                <w:bCs/>
                <w:noProof/>
                <w:lang w:val="en-US" w:eastAsia="en-US"/>
              </w:rPr>
              <w:drawing>
                <wp:inline distT="0" distB="0" distL="0" distR="0" wp14:anchorId="03D9B168" wp14:editId="51778B64">
                  <wp:extent cx="2655455" cy="2131076"/>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3.png"/>
                          <pic:cNvPicPr/>
                        </pic:nvPicPr>
                        <pic:blipFill>
                          <a:blip r:embed="rId33">
                            <a:extLst>
                              <a:ext uri="{28A0092B-C50C-407E-A947-70E740481C1C}">
                                <a14:useLocalDpi xmlns:a14="http://schemas.microsoft.com/office/drawing/2010/main" val="0"/>
                              </a:ext>
                            </a:extLst>
                          </a:blip>
                          <a:stretch>
                            <a:fillRect/>
                          </a:stretch>
                        </pic:blipFill>
                        <pic:spPr>
                          <a:xfrm>
                            <a:off x="0" y="0"/>
                            <a:ext cx="2656108" cy="2131600"/>
                          </a:xfrm>
                          <a:prstGeom prst="rect">
                            <a:avLst/>
                          </a:prstGeom>
                        </pic:spPr>
                      </pic:pic>
                    </a:graphicData>
                  </a:graphic>
                </wp:inline>
              </w:drawing>
            </w:r>
          </w:p>
          <w:p w:rsidR="00574D1C" w:rsidRDefault="00574D1C" w:rsidP="00574D1C">
            <w:pPr>
              <w:jc w:val="center"/>
              <w:rPr>
                <w:rFonts w:asciiTheme="minorHAnsi" w:eastAsia="Calibri" w:hAnsiTheme="minorHAnsi" w:cstheme="minorBidi"/>
                <w:bCs/>
                <w:lang w:val="en-US" w:eastAsia="en-US"/>
              </w:rPr>
            </w:pPr>
          </w:p>
          <w:p w:rsidR="00574D1C" w:rsidRDefault="00574D1C" w:rsidP="00574D1C">
            <w:pPr>
              <w:jc w:val="center"/>
              <w:rPr>
                <w:rFonts w:asciiTheme="minorHAnsi" w:eastAsia="Calibri" w:hAnsiTheme="minorHAnsi" w:cstheme="minorBidi"/>
                <w:bCs/>
                <w:lang w:val="en-US" w:eastAsia="en-US"/>
              </w:rPr>
            </w:pPr>
            <w:r>
              <w:rPr>
                <w:rFonts w:asciiTheme="minorHAnsi" w:eastAsia="Calibri" w:hAnsiTheme="minorHAnsi" w:cstheme="minorBidi"/>
                <w:bCs/>
                <w:noProof/>
                <w:lang w:val="en-US" w:eastAsia="en-US"/>
              </w:rPr>
              <w:drawing>
                <wp:inline distT="0" distB="0" distL="0" distR="0" wp14:anchorId="722B6666" wp14:editId="0604468D">
                  <wp:extent cx="2674852" cy="16613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4.png"/>
                          <pic:cNvPicPr/>
                        </pic:nvPicPr>
                        <pic:blipFill>
                          <a:blip r:embed="rId34">
                            <a:extLst>
                              <a:ext uri="{28A0092B-C50C-407E-A947-70E740481C1C}">
                                <a14:useLocalDpi xmlns:a14="http://schemas.microsoft.com/office/drawing/2010/main" val="0"/>
                              </a:ext>
                            </a:extLst>
                          </a:blip>
                          <a:stretch>
                            <a:fillRect/>
                          </a:stretch>
                        </pic:blipFill>
                        <pic:spPr>
                          <a:xfrm>
                            <a:off x="0" y="0"/>
                            <a:ext cx="2674852" cy="1661304"/>
                          </a:xfrm>
                          <a:prstGeom prst="rect">
                            <a:avLst/>
                          </a:prstGeom>
                        </pic:spPr>
                      </pic:pic>
                    </a:graphicData>
                  </a:graphic>
                </wp:inline>
              </w:drawing>
            </w:r>
          </w:p>
          <w:p w:rsidR="00574D1C" w:rsidRDefault="00574D1C" w:rsidP="00574D1C">
            <w:pPr>
              <w:jc w:val="center"/>
              <w:rPr>
                <w:rFonts w:asciiTheme="minorHAnsi" w:eastAsia="Calibri" w:hAnsiTheme="minorHAnsi" w:cstheme="minorBidi"/>
                <w:bCs/>
                <w:lang w:val="en-US" w:eastAsia="en-US"/>
              </w:rPr>
            </w:pPr>
          </w:p>
        </w:tc>
      </w:tr>
      <w:tr w:rsidR="00574D1C" w:rsidTr="00B64997">
        <w:tc>
          <w:tcPr>
            <w:tcW w:w="4788" w:type="dxa"/>
          </w:tcPr>
          <w:p w:rsidR="00574D1C" w:rsidRDefault="00574D1C" w:rsidP="00D46604">
            <w:pPr>
              <w:pStyle w:val="NoSpacing"/>
              <w:jc w:val="both"/>
              <w:rPr>
                <w:rFonts w:eastAsia="Calibri"/>
                <w:bCs/>
                <w:sz w:val="24"/>
                <w:szCs w:val="24"/>
                <w:lang w:bidi="prs-AF"/>
              </w:rPr>
            </w:pPr>
            <w:r>
              <w:rPr>
                <w:rFonts w:eastAsia="Calibri"/>
                <w:bCs/>
                <w:sz w:val="24"/>
                <w:szCs w:val="24"/>
                <w:lang w:bidi="prs-AF"/>
              </w:rPr>
              <w:t>Public Disclosure</w:t>
            </w:r>
          </w:p>
          <w:p w:rsidR="00574D1C" w:rsidRDefault="00574D1C" w:rsidP="00D46604">
            <w:pPr>
              <w:pStyle w:val="NoSpacing"/>
              <w:jc w:val="both"/>
              <w:rPr>
                <w:rFonts w:eastAsia="Calibri"/>
                <w:bCs/>
                <w:sz w:val="24"/>
                <w:szCs w:val="24"/>
                <w:rtl/>
                <w:lang w:bidi="prs-AF"/>
              </w:rPr>
            </w:pPr>
          </w:p>
          <w:p w:rsidR="00574D1C" w:rsidRPr="00E32C86" w:rsidRDefault="00574D1C" w:rsidP="00D46604">
            <w:pPr>
              <w:pStyle w:val="NoSpacing"/>
              <w:jc w:val="both"/>
              <w:rPr>
                <w:rFonts w:eastAsia="Calibri"/>
                <w:bCs/>
                <w:sz w:val="24"/>
                <w:szCs w:val="24"/>
                <w:lang w:bidi="fa-IR"/>
              </w:rPr>
            </w:pPr>
            <w:r>
              <w:rPr>
                <w:rFonts w:eastAsia="Calibri"/>
                <w:bCs/>
                <w:sz w:val="24"/>
                <w:szCs w:val="24"/>
                <w:lang w:bidi="fa-IR"/>
              </w:rPr>
              <w:t>First time public disclosure of reforms, activities performed and achievements of GDIA through government media and information center in the presence of Deputy Minister of Finance for Administration Mr. Habib Zadran.</w:t>
            </w:r>
          </w:p>
          <w:p w:rsidR="00574D1C" w:rsidRDefault="00574D1C" w:rsidP="00D46604">
            <w:pPr>
              <w:pStyle w:val="NoSpacing"/>
              <w:jc w:val="both"/>
              <w:rPr>
                <w:rFonts w:eastAsia="Calibri"/>
                <w:bCs/>
                <w:sz w:val="24"/>
                <w:szCs w:val="24"/>
              </w:rPr>
            </w:pPr>
          </w:p>
        </w:tc>
        <w:tc>
          <w:tcPr>
            <w:tcW w:w="4788" w:type="dxa"/>
          </w:tcPr>
          <w:p w:rsidR="00574D1C" w:rsidRDefault="00574D1C" w:rsidP="00574D1C">
            <w:pPr>
              <w:jc w:val="center"/>
              <w:rPr>
                <w:rFonts w:asciiTheme="minorHAnsi" w:eastAsia="Calibri" w:hAnsiTheme="minorHAnsi" w:cstheme="minorBidi"/>
                <w:bCs/>
                <w:noProof/>
              </w:rPr>
            </w:pPr>
            <w:r>
              <w:rPr>
                <w:rFonts w:asciiTheme="minorHAnsi" w:eastAsia="Calibri" w:hAnsiTheme="minorHAnsi" w:cstheme="minorBidi"/>
                <w:bCs/>
                <w:noProof/>
                <w:lang w:val="en-US" w:eastAsia="en-US"/>
              </w:rPr>
              <w:drawing>
                <wp:inline distT="0" distB="0" distL="0" distR="0" wp14:anchorId="6D134D7C" wp14:editId="18908C14">
                  <wp:extent cx="2810697" cy="15886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5.png"/>
                          <pic:cNvPicPr/>
                        </pic:nvPicPr>
                        <pic:blipFill>
                          <a:blip r:embed="rId35">
                            <a:extLst>
                              <a:ext uri="{28A0092B-C50C-407E-A947-70E740481C1C}">
                                <a14:useLocalDpi xmlns:a14="http://schemas.microsoft.com/office/drawing/2010/main" val="0"/>
                              </a:ext>
                            </a:extLst>
                          </a:blip>
                          <a:stretch>
                            <a:fillRect/>
                          </a:stretch>
                        </pic:blipFill>
                        <pic:spPr>
                          <a:xfrm>
                            <a:off x="0" y="0"/>
                            <a:ext cx="2812175" cy="1589491"/>
                          </a:xfrm>
                          <a:prstGeom prst="rect">
                            <a:avLst/>
                          </a:prstGeom>
                        </pic:spPr>
                      </pic:pic>
                    </a:graphicData>
                  </a:graphic>
                </wp:inline>
              </w:drawing>
            </w:r>
          </w:p>
        </w:tc>
      </w:tr>
      <w:tr w:rsidR="00574D1C" w:rsidTr="00B64997">
        <w:tc>
          <w:tcPr>
            <w:tcW w:w="4788" w:type="dxa"/>
          </w:tcPr>
          <w:p w:rsidR="00574D1C" w:rsidRDefault="00C14CF5" w:rsidP="00D46604">
            <w:pPr>
              <w:pStyle w:val="NoSpacing"/>
              <w:jc w:val="both"/>
              <w:rPr>
                <w:rFonts w:eastAsia="Calibri"/>
                <w:bCs/>
                <w:sz w:val="24"/>
                <w:szCs w:val="24"/>
                <w:lang w:bidi="fa-IR"/>
              </w:rPr>
            </w:pPr>
            <w:r>
              <w:rPr>
                <w:rFonts w:eastAsia="Calibri"/>
                <w:bCs/>
                <w:sz w:val="24"/>
                <w:szCs w:val="24"/>
              </w:rPr>
              <w:t>First introductory conference on Takaful (Islamic Insurance) at Intercontinental Hotel</w:t>
            </w:r>
            <w:r>
              <w:rPr>
                <w:rFonts w:eastAsia="Calibri" w:hint="cs"/>
                <w:bCs/>
                <w:sz w:val="24"/>
                <w:szCs w:val="24"/>
                <w:rtl/>
              </w:rPr>
              <w:t>.</w:t>
            </w:r>
            <w:r>
              <w:rPr>
                <w:rFonts w:eastAsia="Calibri"/>
                <w:bCs/>
                <w:sz w:val="24"/>
                <w:szCs w:val="24"/>
                <w:lang w:bidi="fa-IR"/>
              </w:rPr>
              <w:t xml:space="preserve"> </w:t>
            </w:r>
            <w:r w:rsidRPr="00927045">
              <w:rPr>
                <w:rFonts w:eastAsia="Calibri"/>
                <w:bCs/>
                <w:sz w:val="24"/>
                <w:szCs w:val="24"/>
                <w:lang w:bidi="fa-IR"/>
              </w:rPr>
              <w:lastRenderedPageBreak/>
              <w:t xml:space="preserve">The conference was attended by </w:t>
            </w:r>
            <w:r>
              <w:rPr>
                <w:rFonts w:eastAsia="Calibri"/>
                <w:bCs/>
                <w:sz w:val="24"/>
                <w:szCs w:val="24"/>
                <w:lang w:bidi="fa-IR"/>
              </w:rPr>
              <w:t>different stakeholders, members of the Ule</w:t>
            </w:r>
            <w:r w:rsidRPr="00927045">
              <w:rPr>
                <w:rFonts w:eastAsia="Calibri"/>
                <w:bCs/>
                <w:sz w:val="24"/>
                <w:szCs w:val="24"/>
                <w:lang w:bidi="fa-IR"/>
              </w:rPr>
              <w:t>ma Council, representatives of the Islamic Development Bank, chambers of commerce, state and non-government insurance companies, presidents and representatives of various government departments.</w:t>
            </w:r>
          </w:p>
          <w:p w:rsidR="00C14CF5" w:rsidRDefault="00C14CF5" w:rsidP="00D46604">
            <w:pPr>
              <w:pStyle w:val="NoSpacing"/>
              <w:jc w:val="both"/>
              <w:rPr>
                <w:rFonts w:eastAsia="Calibri"/>
                <w:bCs/>
                <w:sz w:val="24"/>
                <w:szCs w:val="24"/>
                <w:lang w:bidi="fa-IR"/>
              </w:rPr>
            </w:pPr>
          </w:p>
          <w:p w:rsidR="00C14CF5" w:rsidRDefault="00C14CF5" w:rsidP="00D46604">
            <w:pPr>
              <w:pStyle w:val="NoSpacing"/>
              <w:jc w:val="both"/>
              <w:rPr>
                <w:rFonts w:eastAsia="Calibri"/>
                <w:bCs/>
                <w:sz w:val="24"/>
                <w:szCs w:val="24"/>
              </w:rPr>
            </w:pPr>
          </w:p>
        </w:tc>
        <w:tc>
          <w:tcPr>
            <w:tcW w:w="4788" w:type="dxa"/>
          </w:tcPr>
          <w:p w:rsidR="00574D1C" w:rsidRDefault="00574D1C" w:rsidP="00574D1C">
            <w:pPr>
              <w:jc w:val="center"/>
              <w:rPr>
                <w:rFonts w:asciiTheme="minorHAnsi" w:eastAsia="Calibri" w:hAnsiTheme="minorHAnsi" w:cstheme="minorBidi"/>
                <w:bCs/>
                <w:noProof/>
              </w:rPr>
            </w:pPr>
          </w:p>
          <w:p w:rsidR="00C14CF5" w:rsidRDefault="00C14CF5" w:rsidP="00574D1C">
            <w:pPr>
              <w:jc w:val="center"/>
              <w:rPr>
                <w:rFonts w:asciiTheme="minorHAnsi" w:eastAsia="Calibri" w:hAnsiTheme="minorHAnsi" w:cstheme="minorBidi"/>
                <w:bCs/>
                <w:noProof/>
              </w:rPr>
            </w:pPr>
            <w:r w:rsidRPr="007E68E4">
              <w:rPr>
                <w:rFonts w:ascii="Calibri" w:hAnsi="Calibri" w:cs="B Zar"/>
                <w:noProof/>
                <w:sz w:val="28"/>
                <w:szCs w:val="28"/>
                <w:rtl/>
                <w:lang w:val="en-US" w:eastAsia="en-US"/>
              </w:rPr>
              <w:lastRenderedPageBreak/>
              <w:drawing>
                <wp:anchor distT="0" distB="0" distL="114300" distR="114300" simplePos="0" relativeHeight="251689472" behindDoc="1" locked="0" layoutInCell="1" allowOverlap="1" wp14:anchorId="7C5AA2AB" wp14:editId="3C1F7E4C">
                  <wp:simplePos x="0" y="0"/>
                  <wp:positionH relativeFrom="column">
                    <wp:posOffset>44450</wp:posOffset>
                  </wp:positionH>
                  <wp:positionV relativeFrom="paragraph">
                    <wp:posOffset>-31750</wp:posOffset>
                  </wp:positionV>
                  <wp:extent cx="2780665" cy="1574800"/>
                  <wp:effectExtent l="0" t="0" r="635" b="6350"/>
                  <wp:wrapTight wrapText="bothSides">
                    <wp:wrapPolygon edited="0">
                      <wp:start x="0" y="0"/>
                      <wp:lineTo x="0" y="21426"/>
                      <wp:lineTo x="21457" y="21426"/>
                      <wp:lineTo x="21457" y="0"/>
                      <wp:lineTo x="0" y="0"/>
                    </wp:wrapPolygon>
                  </wp:wrapTight>
                  <wp:docPr id="21" name="Picture 21" descr="C:\Users\ZU\Desktop\hivad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ZU\Desktop\hivad120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0665"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74D1C" w:rsidTr="00B64997">
        <w:tc>
          <w:tcPr>
            <w:tcW w:w="4788" w:type="dxa"/>
          </w:tcPr>
          <w:p w:rsidR="00C14CF5" w:rsidRDefault="00C14CF5" w:rsidP="00D46604">
            <w:pPr>
              <w:pStyle w:val="NoSpacing"/>
              <w:jc w:val="both"/>
              <w:rPr>
                <w:rFonts w:eastAsia="Calibri"/>
                <w:bCs/>
                <w:sz w:val="24"/>
                <w:szCs w:val="24"/>
              </w:rPr>
            </w:pPr>
            <w:r>
              <w:rPr>
                <w:rFonts w:eastAsia="Calibri"/>
                <w:bCs/>
                <w:sz w:val="24"/>
                <w:szCs w:val="24"/>
              </w:rPr>
              <w:lastRenderedPageBreak/>
              <w:t>Conference on Takaful introduction in Herat province w</w:t>
            </w:r>
            <w:r w:rsidRPr="00F1037B">
              <w:rPr>
                <w:rFonts w:eastAsia="Calibri"/>
                <w:bCs/>
                <w:sz w:val="24"/>
                <w:szCs w:val="24"/>
              </w:rPr>
              <w:t xml:space="preserve">ith the participation of high-ranking officials of Herat province, elites, university professors, representatives of </w:t>
            </w:r>
            <w:r>
              <w:rPr>
                <w:rFonts w:eastAsia="Calibri"/>
                <w:bCs/>
                <w:sz w:val="24"/>
                <w:szCs w:val="24"/>
              </w:rPr>
              <w:t xml:space="preserve">commerce and </w:t>
            </w:r>
            <w:r w:rsidRPr="00F1037B">
              <w:rPr>
                <w:rFonts w:eastAsia="Calibri"/>
                <w:bCs/>
                <w:sz w:val="24"/>
                <w:szCs w:val="24"/>
              </w:rPr>
              <w:t xml:space="preserve">industry and mining chambers, businesspersons and entrepreneurs of the province and senior employees of the General Directorate of Insurance Affairs </w:t>
            </w:r>
            <w:r>
              <w:rPr>
                <w:rFonts w:eastAsia="Calibri"/>
                <w:bCs/>
                <w:sz w:val="24"/>
                <w:szCs w:val="24"/>
              </w:rPr>
              <w:t xml:space="preserve">of the Ministry of Finance </w:t>
            </w:r>
            <w:r w:rsidRPr="00F1037B">
              <w:rPr>
                <w:rFonts w:eastAsia="Calibri"/>
                <w:bCs/>
                <w:sz w:val="24"/>
                <w:szCs w:val="24"/>
              </w:rPr>
              <w:t>held at Sadaf International Hotel. The purpose of holding this conference was to raise awareness and introduce the legal framework of Islamic insurance in the country and to en</w:t>
            </w:r>
            <w:r>
              <w:rPr>
                <w:rFonts w:eastAsia="Calibri"/>
                <w:bCs/>
                <w:sz w:val="24"/>
                <w:szCs w:val="24"/>
              </w:rPr>
              <w:t>courage investment in the Takafu</w:t>
            </w:r>
            <w:r w:rsidRPr="00F1037B">
              <w:rPr>
                <w:rFonts w:eastAsia="Calibri"/>
                <w:bCs/>
                <w:sz w:val="24"/>
                <w:szCs w:val="24"/>
              </w:rPr>
              <w:t>l industry.</w:t>
            </w:r>
          </w:p>
          <w:p w:rsidR="00574D1C" w:rsidRDefault="00574D1C" w:rsidP="00D46604">
            <w:pPr>
              <w:pStyle w:val="NoSpacing"/>
              <w:jc w:val="both"/>
              <w:rPr>
                <w:rFonts w:eastAsia="Calibri"/>
                <w:bCs/>
                <w:sz w:val="24"/>
                <w:szCs w:val="24"/>
              </w:rPr>
            </w:pPr>
          </w:p>
        </w:tc>
        <w:tc>
          <w:tcPr>
            <w:tcW w:w="4788" w:type="dxa"/>
          </w:tcPr>
          <w:p w:rsidR="00574D1C" w:rsidRDefault="00C14CF5" w:rsidP="00574D1C">
            <w:pPr>
              <w:jc w:val="center"/>
              <w:rPr>
                <w:rFonts w:asciiTheme="minorHAnsi" w:eastAsia="Calibri" w:hAnsiTheme="minorHAnsi" w:cstheme="minorBidi"/>
                <w:bCs/>
                <w:noProof/>
              </w:rPr>
            </w:pPr>
            <w:r>
              <w:rPr>
                <w:noProof/>
                <w:rtl/>
                <w:lang w:val="en-US" w:eastAsia="en-US"/>
              </w:rPr>
              <w:drawing>
                <wp:anchor distT="0" distB="0" distL="114300" distR="114300" simplePos="0" relativeHeight="251691520" behindDoc="1" locked="0" layoutInCell="1" allowOverlap="1" wp14:anchorId="1F3CECF9" wp14:editId="7F5BCB3E">
                  <wp:simplePos x="0" y="0"/>
                  <wp:positionH relativeFrom="column">
                    <wp:posOffset>68580</wp:posOffset>
                  </wp:positionH>
                  <wp:positionV relativeFrom="paragraph">
                    <wp:posOffset>-7733665</wp:posOffset>
                  </wp:positionV>
                  <wp:extent cx="2715260" cy="1619885"/>
                  <wp:effectExtent l="0" t="0" r="8890" b="0"/>
                  <wp:wrapTight wrapText="bothSides">
                    <wp:wrapPolygon edited="0">
                      <wp:start x="0" y="0"/>
                      <wp:lineTo x="0" y="21338"/>
                      <wp:lineTo x="21519" y="21338"/>
                      <wp:lineTo x="21519" y="0"/>
                      <wp:lineTo x="0" y="0"/>
                    </wp:wrapPolygon>
                  </wp:wrapTight>
                  <wp:docPr id="22" name="Picture 7" descr="79664546_1167925713597801_7763747179633573888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9664546_1167925713597801_7763747179633573888_o"/>
                          <pic:cNvPicPr>
                            <a:picLocks noChangeAspect="1" noChangeArrowheads="1"/>
                          </pic:cNvPicPr>
                        </pic:nvPicPr>
                        <pic:blipFill>
                          <a:blip r:embed="rId37" cstate="print">
                            <a:extLst>
                              <a:ext uri="{28A0092B-C50C-407E-A947-70E740481C1C}">
                                <a14:useLocalDpi xmlns:a14="http://schemas.microsoft.com/office/drawing/2010/main" val="0"/>
                              </a:ext>
                            </a:extLst>
                          </a:blip>
                          <a:srcRect l="5775" t="15263" r="6778" b="18254"/>
                          <a:stretch>
                            <a:fillRect/>
                          </a:stretch>
                        </pic:blipFill>
                        <pic:spPr bwMode="auto">
                          <a:xfrm>
                            <a:off x="0" y="0"/>
                            <a:ext cx="2715260" cy="1619885"/>
                          </a:xfrm>
                          <a:prstGeom prst="rect">
                            <a:avLst/>
                          </a:prstGeom>
                          <a:noFill/>
                        </pic:spPr>
                      </pic:pic>
                    </a:graphicData>
                  </a:graphic>
                  <wp14:sizeRelH relativeFrom="page">
                    <wp14:pctWidth>0</wp14:pctWidth>
                  </wp14:sizeRelH>
                  <wp14:sizeRelV relativeFrom="page">
                    <wp14:pctHeight>0</wp14:pctHeight>
                  </wp14:sizeRelV>
                </wp:anchor>
              </w:drawing>
            </w:r>
          </w:p>
        </w:tc>
      </w:tr>
      <w:tr w:rsidR="00574D1C" w:rsidTr="00B64997">
        <w:tc>
          <w:tcPr>
            <w:tcW w:w="4788" w:type="dxa"/>
          </w:tcPr>
          <w:p w:rsidR="00691556" w:rsidRDefault="00691556" w:rsidP="00D46604">
            <w:pPr>
              <w:pStyle w:val="NoSpacing"/>
              <w:jc w:val="both"/>
              <w:rPr>
                <w:rFonts w:eastAsia="Calibri"/>
                <w:bCs/>
                <w:sz w:val="24"/>
                <w:szCs w:val="24"/>
              </w:rPr>
            </w:pPr>
            <w:r>
              <w:rPr>
                <w:rFonts w:eastAsia="Calibri"/>
                <w:bCs/>
                <w:sz w:val="24"/>
                <w:szCs w:val="24"/>
              </w:rPr>
              <w:t xml:space="preserve">Conference on Takaful held in Jalalabad with </w:t>
            </w:r>
            <w:r w:rsidRPr="00F1037B">
              <w:rPr>
                <w:rFonts w:eastAsia="Calibri"/>
                <w:bCs/>
                <w:sz w:val="24"/>
                <w:szCs w:val="24"/>
              </w:rPr>
              <w:t xml:space="preserve">participation of high-ranking officials of Nangarhar province, elites, professors of law and economics </w:t>
            </w:r>
            <w:r>
              <w:rPr>
                <w:rFonts w:eastAsia="Calibri"/>
                <w:bCs/>
                <w:sz w:val="24"/>
                <w:szCs w:val="24"/>
              </w:rPr>
              <w:t xml:space="preserve">faculty </w:t>
            </w:r>
            <w:r w:rsidRPr="00F1037B">
              <w:rPr>
                <w:rFonts w:eastAsia="Calibri"/>
                <w:bCs/>
                <w:sz w:val="24"/>
                <w:szCs w:val="24"/>
              </w:rPr>
              <w:t xml:space="preserve">of Nangarhar University, representatives of chambers of </w:t>
            </w:r>
            <w:r>
              <w:rPr>
                <w:rFonts w:eastAsia="Calibri"/>
                <w:bCs/>
                <w:sz w:val="24"/>
                <w:szCs w:val="24"/>
              </w:rPr>
              <w:t>commerce and industries, entrepreneurs</w:t>
            </w:r>
            <w:r w:rsidRPr="00F1037B">
              <w:rPr>
                <w:rFonts w:eastAsia="Calibri"/>
                <w:bCs/>
                <w:sz w:val="24"/>
                <w:szCs w:val="24"/>
              </w:rPr>
              <w:t xml:space="preserve"> and pioneers of the province and senior employees of the General Directorate of Insurance Affairs </w:t>
            </w:r>
            <w:r>
              <w:rPr>
                <w:rFonts w:eastAsia="Calibri"/>
                <w:bCs/>
                <w:sz w:val="24"/>
                <w:szCs w:val="24"/>
              </w:rPr>
              <w:t>at</w:t>
            </w:r>
            <w:r w:rsidRPr="00F1037B">
              <w:rPr>
                <w:rFonts w:eastAsia="Calibri"/>
                <w:bCs/>
                <w:sz w:val="24"/>
                <w:szCs w:val="24"/>
              </w:rPr>
              <w:t xml:space="preserve"> the conference hall of Nangarhar province</w:t>
            </w:r>
            <w:r>
              <w:rPr>
                <w:rFonts w:eastAsia="Calibri"/>
                <w:bCs/>
                <w:sz w:val="24"/>
                <w:szCs w:val="24"/>
              </w:rPr>
              <w:t xml:space="preserve"> to raise awareness and encourage investment in the Takaful industry</w:t>
            </w:r>
            <w:r w:rsidRPr="00F1037B">
              <w:rPr>
                <w:rFonts w:eastAsia="Calibri"/>
                <w:bCs/>
                <w:sz w:val="24"/>
                <w:szCs w:val="24"/>
              </w:rPr>
              <w:t>.</w:t>
            </w:r>
            <w:r>
              <w:rPr>
                <w:rFonts w:eastAsia="Calibri"/>
                <w:bCs/>
                <w:sz w:val="24"/>
                <w:szCs w:val="24"/>
              </w:rPr>
              <w:t xml:space="preserve"> </w:t>
            </w:r>
          </w:p>
          <w:p w:rsidR="00574D1C" w:rsidRDefault="00574D1C" w:rsidP="00691556">
            <w:pPr>
              <w:pStyle w:val="NoSpacing"/>
              <w:rPr>
                <w:rFonts w:eastAsia="Calibri"/>
                <w:bCs/>
                <w:sz w:val="24"/>
                <w:szCs w:val="24"/>
              </w:rPr>
            </w:pPr>
          </w:p>
        </w:tc>
        <w:tc>
          <w:tcPr>
            <w:tcW w:w="4788" w:type="dxa"/>
          </w:tcPr>
          <w:p w:rsidR="00574D1C" w:rsidRPr="00C14CF5" w:rsidRDefault="00C14CF5" w:rsidP="00574D1C">
            <w:pPr>
              <w:jc w:val="center"/>
              <w:rPr>
                <w:rFonts w:asciiTheme="minorHAnsi" w:eastAsia="Calibri" w:hAnsiTheme="minorHAnsi" w:cstheme="minorBidi"/>
                <w:b/>
                <w:bCs/>
                <w:noProof/>
              </w:rPr>
            </w:pPr>
            <w:r>
              <w:rPr>
                <w:rFonts w:ascii="Calibri" w:hAnsi="Calibri" w:cs="B Zar" w:hint="cs"/>
                <w:noProof/>
                <w:sz w:val="28"/>
                <w:szCs w:val="28"/>
                <w:rtl/>
                <w:lang w:val="en-US" w:eastAsia="en-US"/>
              </w:rPr>
              <w:drawing>
                <wp:anchor distT="0" distB="0" distL="114300" distR="114300" simplePos="0" relativeHeight="251693568" behindDoc="1" locked="0" layoutInCell="1" allowOverlap="1" wp14:anchorId="7F9111F7" wp14:editId="7B6B2817">
                  <wp:simplePos x="0" y="0"/>
                  <wp:positionH relativeFrom="column">
                    <wp:posOffset>67310</wp:posOffset>
                  </wp:positionH>
                  <wp:positionV relativeFrom="paragraph">
                    <wp:posOffset>-1905</wp:posOffset>
                  </wp:positionV>
                  <wp:extent cx="2750820" cy="1435735"/>
                  <wp:effectExtent l="0" t="0" r="0" b="0"/>
                  <wp:wrapTight wrapText="bothSides">
                    <wp:wrapPolygon edited="0">
                      <wp:start x="0" y="0"/>
                      <wp:lineTo x="0" y="21208"/>
                      <wp:lineTo x="21391" y="21208"/>
                      <wp:lineTo x="21391" y="0"/>
                      <wp:lineTo x="0" y="0"/>
                    </wp:wrapPolygon>
                  </wp:wrapTight>
                  <wp:docPr id="23" name="Picture 3" descr="C:\Users\a\Desktop\79938825_10157747382132381_85798749668439490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sktop\79938825_10157747382132381_8579874966843949056_o.jpg"/>
                          <pic:cNvPicPr>
                            <a:picLocks noChangeAspect="1" noChangeArrowheads="1"/>
                          </pic:cNvPicPr>
                        </pic:nvPicPr>
                        <pic:blipFill rotWithShape="1">
                          <a:blip r:embed="rId38" cstate="print"/>
                          <a:srcRect t="12330" b="14056"/>
                          <a:stretch/>
                        </pic:blipFill>
                        <pic:spPr bwMode="auto">
                          <a:xfrm>
                            <a:off x="0" y="0"/>
                            <a:ext cx="2750820" cy="1435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B64997" w:rsidRDefault="00B64997" w:rsidP="00A1080F">
      <w:pPr>
        <w:jc w:val="both"/>
        <w:rPr>
          <w:rFonts w:asciiTheme="minorHAnsi" w:eastAsia="Calibri" w:hAnsiTheme="minorHAnsi" w:cstheme="minorBidi"/>
          <w:bCs/>
          <w:lang w:val="en-US" w:eastAsia="en-US"/>
        </w:rPr>
      </w:pPr>
    </w:p>
    <w:p w:rsidR="005743F3" w:rsidRDefault="005743F3" w:rsidP="00A1080F">
      <w:pPr>
        <w:jc w:val="both"/>
        <w:rPr>
          <w:rFonts w:asciiTheme="minorHAnsi" w:eastAsia="Calibri" w:hAnsiTheme="minorHAnsi" w:cstheme="minorBidi"/>
          <w:bCs/>
          <w:lang w:val="en-US" w:eastAsia="en-US"/>
        </w:rPr>
      </w:pPr>
    </w:p>
    <w:p w:rsidR="00C27879" w:rsidRPr="00C27879" w:rsidRDefault="00D57EFB" w:rsidP="00C27879">
      <w:pPr>
        <w:pStyle w:val="Heading2"/>
      </w:pPr>
      <w:bookmarkStart w:id="26" w:name="_Toc43808719"/>
      <w:r w:rsidRPr="00C27879">
        <w:lastRenderedPageBreak/>
        <w:t xml:space="preserve">4.6 </w:t>
      </w:r>
      <w:r w:rsidR="003D1641" w:rsidRPr="00C27879">
        <w:tab/>
      </w:r>
      <w:r w:rsidR="00C27879" w:rsidRPr="00C27879">
        <w:t>Memorandums and Agreements</w:t>
      </w:r>
      <w:bookmarkEnd w:id="26"/>
    </w:p>
    <w:p w:rsidR="00C27879" w:rsidRDefault="00C27879" w:rsidP="00D57EFB">
      <w:pPr>
        <w:pStyle w:val="Heading2"/>
        <w:rPr>
          <w:rFonts w:eastAsia="Calibri"/>
          <w:color w:val="FF0000"/>
        </w:rPr>
      </w:pPr>
    </w:p>
    <w:p w:rsidR="007F0D3C" w:rsidRPr="00757A7F" w:rsidRDefault="00C27879" w:rsidP="00C27879">
      <w:pPr>
        <w:pStyle w:val="Heading3"/>
        <w:rPr>
          <w:rFonts w:eastAsia="Calibri"/>
        </w:rPr>
      </w:pPr>
      <w:bookmarkStart w:id="27" w:name="_Toc43808720"/>
      <w:r>
        <w:rPr>
          <w:rFonts w:eastAsia="Calibri"/>
        </w:rPr>
        <w:t>4.6.1</w:t>
      </w:r>
      <w:r>
        <w:rPr>
          <w:rFonts w:eastAsia="Calibri"/>
        </w:rPr>
        <w:tab/>
        <w:t>Foreign</w:t>
      </w:r>
      <w:bookmarkEnd w:id="27"/>
      <w:r>
        <w:rPr>
          <w:rFonts w:eastAsia="Calibri"/>
        </w:rPr>
        <w:t xml:space="preserve"> </w:t>
      </w:r>
    </w:p>
    <w:p w:rsidR="00D57EFB" w:rsidRPr="00757A7F" w:rsidRDefault="00D57EFB" w:rsidP="00D57EFB">
      <w:pPr>
        <w:rPr>
          <w:rFonts w:eastAsia="Calibri"/>
          <w:color w:val="FF0000"/>
          <w:lang w:bidi="fa-IR"/>
        </w:rPr>
      </w:pPr>
    </w:p>
    <w:p w:rsidR="003D1641" w:rsidRDefault="00C27879" w:rsidP="00C27879">
      <w:pPr>
        <w:pStyle w:val="ListParagraph"/>
        <w:numPr>
          <w:ilvl w:val="0"/>
          <w:numId w:val="15"/>
        </w:numPr>
        <w:jc w:val="both"/>
        <w:rPr>
          <w:rFonts w:asciiTheme="minorHAnsi" w:eastAsia="Calibri" w:hAnsiTheme="minorHAnsi" w:cstheme="minorHAnsi"/>
          <w:lang w:val="en-US" w:eastAsia="en-US"/>
        </w:rPr>
      </w:pPr>
      <w:r w:rsidRPr="00C27879">
        <w:rPr>
          <w:rFonts w:asciiTheme="minorHAnsi" w:eastAsia="Calibri" w:hAnsiTheme="minorHAnsi" w:cstheme="minorHAnsi"/>
          <w:bCs/>
          <w:lang w:val="en-US" w:eastAsia="en-US"/>
        </w:rPr>
        <w:t xml:space="preserve">A </w:t>
      </w:r>
      <w:r w:rsidR="00D57EFB" w:rsidRPr="00C27879">
        <w:rPr>
          <w:rFonts w:asciiTheme="minorHAnsi" w:eastAsia="Calibri" w:hAnsiTheme="minorHAnsi" w:cstheme="minorHAnsi"/>
          <w:bCs/>
          <w:lang w:val="en-US" w:eastAsia="en-US"/>
        </w:rPr>
        <w:t xml:space="preserve">Memorandum of Understanding </w:t>
      </w:r>
      <w:r>
        <w:rPr>
          <w:rFonts w:asciiTheme="minorHAnsi" w:eastAsia="Calibri" w:hAnsiTheme="minorHAnsi" w:cstheme="minorHAnsi"/>
          <w:bCs/>
          <w:lang w:val="en-US" w:eastAsia="en-US"/>
        </w:rPr>
        <w:t xml:space="preserve">has been signed </w:t>
      </w:r>
      <w:r w:rsidR="00D57EFB" w:rsidRPr="00C27879">
        <w:rPr>
          <w:rFonts w:asciiTheme="minorHAnsi" w:eastAsia="Calibri" w:hAnsiTheme="minorHAnsi" w:cstheme="minorHAnsi"/>
          <w:lang w:val="en-US" w:eastAsia="en-US"/>
        </w:rPr>
        <w:t>with the Turk</w:t>
      </w:r>
      <w:r>
        <w:rPr>
          <w:rFonts w:asciiTheme="minorHAnsi" w:eastAsia="Calibri" w:hAnsiTheme="minorHAnsi" w:cstheme="minorHAnsi"/>
          <w:lang w:val="en-US" w:eastAsia="en-US"/>
        </w:rPr>
        <w:t xml:space="preserve">ey’s </w:t>
      </w:r>
      <w:r w:rsidR="00D57EFB" w:rsidRPr="00C27879">
        <w:rPr>
          <w:rFonts w:asciiTheme="minorHAnsi" w:eastAsia="Calibri" w:hAnsiTheme="minorHAnsi" w:cstheme="minorHAnsi"/>
          <w:lang w:val="en-US" w:eastAsia="en-US"/>
        </w:rPr>
        <w:t xml:space="preserve">General Directorate of Insurance (GDI) for the purpose of </w:t>
      </w:r>
      <w:r w:rsidR="00390400" w:rsidRPr="00C27879">
        <w:rPr>
          <w:rFonts w:asciiTheme="minorHAnsi" w:eastAsia="Calibri" w:hAnsiTheme="minorHAnsi" w:cstheme="minorHAnsi"/>
          <w:lang w:val="en-US" w:eastAsia="en-US"/>
        </w:rPr>
        <w:t>cooperation</w:t>
      </w:r>
      <w:r w:rsidR="00D57EFB" w:rsidRPr="00C27879">
        <w:rPr>
          <w:rFonts w:asciiTheme="minorHAnsi" w:eastAsia="Calibri" w:hAnsiTheme="minorHAnsi" w:cstheme="minorHAnsi"/>
          <w:lang w:val="en-US" w:eastAsia="en-US"/>
        </w:rPr>
        <w:t xml:space="preserve"> and exchange of information between </w:t>
      </w:r>
      <w:r w:rsidR="00390400" w:rsidRPr="00C27879">
        <w:rPr>
          <w:rFonts w:asciiTheme="minorHAnsi" w:eastAsia="Calibri" w:hAnsiTheme="minorHAnsi" w:cstheme="minorHAnsi"/>
          <w:lang w:val="en-US" w:eastAsia="en-US"/>
        </w:rPr>
        <w:t>the two regulators,</w:t>
      </w:r>
      <w:r w:rsidR="00D57EFB" w:rsidRPr="00C27879">
        <w:rPr>
          <w:rFonts w:asciiTheme="minorHAnsi" w:eastAsia="Calibri" w:hAnsiTheme="minorHAnsi" w:cstheme="minorHAnsi"/>
          <w:lang w:val="en-US" w:eastAsia="en-US"/>
        </w:rPr>
        <w:t xml:space="preserve"> </w:t>
      </w:r>
      <w:r w:rsidR="00390400" w:rsidRPr="00C27879">
        <w:rPr>
          <w:rFonts w:asciiTheme="minorHAnsi" w:eastAsia="Calibri" w:hAnsiTheme="minorHAnsi" w:cstheme="minorHAnsi"/>
          <w:lang w:val="en-US" w:eastAsia="en-US"/>
        </w:rPr>
        <w:t>con</w:t>
      </w:r>
      <w:r>
        <w:rPr>
          <w:rFonts w:asciiTheme="minorHAnsi" w:eastAsia="Calibri" w:hAnsiTheme="minorHAnsi" w:cstheme="minorHAnsi"/>
          <w:lang w:val="en-US" w:eastAsia="en-US"/>
        </w:rPr>
        <w:t xml:space="preserve">ducting </w:t>
      </w:r>
      <w:r w:rsidR="00390400" w:rsidRPr="00C27879">
        <w:rPr>
          <w:rFonts w:asciiTheme="minorHAnsi" w:eastAsia="Calibri" w:hAnsiTheme="minorHAnsi" w:cstheme="minorHAnsi"/>
          <w:lang w:val="en-US" w:eastAsia="en-US"/>
        </w:rPr>
        <w:t xml:space="preserve">joint efforts in a framework that would result in mutual </w:t>
      </w:r>
      <w:r w:rsidR="00D57EFB" w:rsidRPr="00C27879">
        <w:rPr>
          <w:rFonts w:asciiTheme="minorHAnsi" w:eastAsia="Calibri" w:hAnsiTheme="minorHAnsi" w:cstheme="minorHAnsi"/>
          <w:lang w:val="en-US" w:eastAsia="en-US"/>
        </w:rPr>
        <w:t xml:space="preserve">cooperation, increased mutual understanding, exchange of information and technical cooperation to the extent permitted by law, regulations and authorized requirements. </w:t>
      </w:r>
      <w:r>
        <w:rPr>
          <w:rFonts w:asciiTheme="minorHAnsi" w:eastAsia="Calibri" w:hAnsiTheme="minorHAnsi" w:cstheme="minorHAnsi"/>
          <w:lang w:val="en-US" w:eastAsia="en-US"/>
        </w:rPr>
        <w:t xml:space="preserve"> It a</w:t>
      </w:r>
      <w:r w:rsidR="00390400" w:rsidRPr="00C27879">
        <w:rPr>
          <w:rFonts w:asciiTheme="minorHAnsi" w:eastAsia="Calibri" w:hAnsiTheme="minorHAnsi" w:cstheme="minorHAnsi"/>
          <w:lang w:val="en-US" w:eastAsia="en-US"/>
        </w:rPr>
        <w:t>lso</w:t>
      </w:r>
      <w:r>
        <w:rPr>
          <w:rFonts w:asciiTheme="minorHAnsi" w:eastAsia="Calibri" w:hAnsiTheme="minorHAnsi" w:cstheme="minorHAnsi"/>
          <w:lang w:val="en-US" w:eastAsia="en-US"/>
        </w:rPr>
        <w:t xml:space="preserve"> included the </w:t>
      </w:r>
      <w:r w:rsidR="00390400" w:rsidRPr="00C27879">
        <w:rPr>
          <w:rFonts w:asciiTheme="minorHAnsi" w:eastAsia="Calibri" w:hAnsiTheme="minorHAnsi" w:cstheme="minorHAnsi"/>
          <w:lang w:val="en-US" w:eastAsia="en-US"/>
        </w:rPr>
        <w:t xml:space="preserve">transfer of knowledge by means of providing </w:t>
      </w:r>
      <w:r w:rsidR="00D57EFB" w:rsidRPr="00C27879">
        <w:rPr>
          <w:rFonts w:asciiTheme="minorHAnsi" w:eastAsia="Calibri" w:hAnsiTheme="minorHAnsi" w:cstheme="minorHAnsi"/>
          <w:lang w:val="en-US" w:eastAsia="en-US"/>
        </w:rPr>
        <w:t>training programs in the host country and participation in internship programs with a focus on education, preparation of training materials.</w:t>
      </w:r>
    </w:p>
    <w:p w:rsidR="00C27879" w:rsidRPr="00C27879" w:rsidRDefault="00C27879" w:rsidP="00C27879">
      <w:pPr>
        <w:pStyle w:val="ListParagraph"/>
        <w:jc w:val="both"/>
        <w:rPr>
          <w:rFonts w:asciiTheme="minorHAnsi" w:eastAsia="Calibri" w:hAnsiTheme="minorHAnsi" w:cstheme="minorHAnsi"/>
          <w:lang w:val="en-US" w:eastAsia="en-US"/>
        </w:rPr>
      </w:pPr>
    </w:p>
    <w:p w:rsidR="003D1641" w:rsidRPr="00C27879" w:rsidRDefault="00C27879" w:rsidP="00C27879">
      <w:pPr>
        <w:pStyle w:val="ListParagraph"/>
        <w:numPr>
          <w:ilvl w:val="0"/>
          <w:numId w:val="15"/>
        </w:numPr>
        <w:jc w:val="both"/>
        <w:rPr>
          <w:rFonts w:asciiTheme="minorHAnsi" w:eastAsia="Calibri" w:hAnsiTheme="minorHAnsi" w:cstheme="minorHAnsi"/>
          <w:lang w:val="en-US" w:eastAsia="en-US"/>
        </w:rPr>
      </w:pPr>
      <w:r w:rsidRPr="00C27879">
        <w:rPr>
          <w:rFonts w:asciiTheme="minorHAnsi" w:eastAsia="Calibri" w:hAnsiTheme="minorHAnsi" w:cstheme="minorHAnsi"/>
          <w:bCs/>
          <w:lang w:val="en-US" w:eastAsia="en-US"/>
        </w:rPr>
        <w:t xml:space="preserve">Also, the </w:t>
      </w:r>
      <w:r w:rsidR="00390400" w:rsidRPr="00C27879">
        <w:rPr>
          <w:rFonts w:asciiTheme="minorHAnsi" w:eastAsia="Calibri" w:hAnsiTheme="minorHAnsi" w:cstheme="minorHAnsi"/>
          <w:bCs/>
          <w:lang w:val="en-US" w:eastAsia="en-US"/>
        </w:rPr>
        <w:t xml:space="preserve">minutes for Memorandum of Understanding </w:t>
      </w:r>
      <w:r w:rsidRPr="00C27879">
        <w:rPr>
          <w:rFonts w:asciiTheme="minorHAnsi" w:eastAsia="Calibri" w:hAnsiTheme="minorHAnsi" w:cstheme="minorHAnsi"/>
          <w:bCs/>
          <w:lang w:val="en-US" w:eastAsia="en-US"/>
        </w:rPr>
        <w:t xml:space="preserve">have been signed </w:t>
      </w:r>
      <w:r w:rsidR="00390400" w:rsidRPr="00C27879">
        <w:rPr>
          <w:rFonts w:asciiTheme="minorHAnsi" w:eastAsia="Calibri" w:hAnsiTheme="minorHAnsi" w:cstheme="minorHAnsi"/>
          <w:lang w:val="en-US" w:eastAsia="en-US"/>
        </w:rPr>
        <w:t>with the</w:t>
      </w:r>
      <w:r w:rsidR="00390400" w:rsidRPr="00C27879">
        <w:rPr>
          <w:rFonts w:asciiTheme="minorHAnsi" w:eastAsia="Calibri" w:hAnsiTheme="minorHAnsi" w:cstheme="minorHAnsi"/>
          <w:b/>
          <w:bCs/>
          <w:lang w:val="en-US" w:eastAsia="en-US"/>
        </w:rPr>
        <w:t xml:space="preserve"> </w:t>
      </w:r>
      <w:r w:rsidR="003D1641" w:rsidRPr="00C27879">
        <w:rPr>
          <w:rFonts w:asciiTheme="minorHAnsi" w:eastAsia="Calibri" w:hAnsiTheme="minorHAnsi" w:cstheme="minorHAnsi"/>
          <w:lang w:val="en-US" w:eastAsia="en-US"/>
        </w:rPr>
        <w:t>Islamic Republic of Iran</w:t>
      </w:r>
      <w:r>
        <w:rPr>
          <w:rFonts w:asciiTheme="minorHAnsi" w:eastAsia="Calibri" w:hAnsiTheme="minorHAnsi" w:cstheme="minorHAnsi"/>
          <w:lang w:val="en-US" w:eastAsia="en-US"/>
        </w:rPr>
        <w:t xml:space="preserve">’s </w:t>
      </w:r>
      <w:r w:rsidR="003D1641" w:rsidRPr="00C27879">
        <w:rPr>
          <w:rFonts w:asciiTheme="minorHAnsi" w:eastAsia="Calibri" w:hAnsiTheme="minorHAnsi" w:cstheme="minorHAnsi"/>
          <w:lang w:val="en-US" w:eastAsia="en-US"/>
        </w:rPr>
        <w:t>Central Insurance for developing bilateral cooperation in the field of insurance by exchanging experiences and sharing insurance information, launching capacity building programs, addressing existing insurance problems between the two countries, providing the necessary facilities for Afghan entrepreneurs to invest and insure activities in the territory of Iran.</w:t>
      </w:r>
      <w:r w:rsidR="003D1641" w:rsidRPr="00C27879">
        <w:rPr>
          <w:rFonts w:asciiTheme="minorHAnsi" w:hAnsiTheme="minorHAnsi" w:cstheme="minorHAnsi"/>
          <w:noProof/>
        </w:rPr>
        <w:t xml:space="preserve"> </w:t>
      </w:r>
    </w:p>
    <w:p w:rsidR="00C27879" w:rsidRPr="00C27879" w:rsidRDefault="00C27879" w:rsidP="00C27879">
      <w:pPr>
        <w:jc w:val="both"/>
        <w:rPr>
          <w:rFonts w:asciiTheme="minorHAnsi" w:eastAsia="Calibri" w:hAnsiTheme="minorHAnsi" w:cstheme="minorHAnsi"/>
          <w:lang w:val="en-US" w:eastAsia="en-US"/>
        </w:rPr>
      </w:pPr>
    </w:p>
    <w:p w:rsidR="00390400" w:rsidRDefault="00C27879" w:rsidP="00C27879">
      <w:pPr>
        <w:pStyle w:val="ListParagraph"/>
        <w:numPr>
          <w:ilvl w:val="0"/>
          <w:numId w:val="15"/>
        </w:numPr>
        <w:jc w:val="both"/>
        <w:rPr>
          <w:rFonts w:asciiTheme="minorHAnsi" w:eastAsia="Calibri" w:hAnsiTheme="minorHAnsi" w:cstheme="minorHAnsi"/>
          <w:lang w:val="en-US" w:eastAsia="en-US"/>
        </w:rPr>
      </w:pPr>
      <w:r w:rsidRPr="00C27879">
        <w:rPr>
          <w:rFonts w:asciiTheme="minorHAnsi" w:eastAsia="Calibri" w:hAnsiTheme="minorHAnsi" w:cstheme="minorHAnsi"/>
          <w:bCs/>
          <w:lang w:val="en-US" w:eastAsia="en-US"/>
        </w:rPr>
        <w:t xml:space="preserve">A </w:t>
      </w:r>
      <w:r w:rsidR="00B87BED" w:rsidRPr="00C27879">
        <w:rPr>
          <w:rFonts w:asciiTheme="minorHAnsi" w:eastAsia="Calibri" w:hAnsiTheme="minorHAnsi" w:cstheme="minorHAnsi"/>
          <w:bCs/>
          <w:lang w:val="en-US" w:eastAsia="en-US"/>
        </w:rPr>
        <w:t xml:space="preserve">Memorandum of Understanding </w:t>
      </w:r>
      <w:r w:rsidRPr="00C27879">
        <w:rPr>
          <w:rFonts w:asciiTheme="minorHAnsi" w:eastAsia="Calibri" w:hAnsiTheme="minorHAnsi" w:cstheme="minorHAnsi"/>
          <w:bCs/>
          <w:lang w:val="en-US" w:eastAsia="en-US"/>
        </w:rPr>
        <w:t xml:space="preserve">has also been signed </w:t>
      </w:r>
      <w:r w:rsidR="00B87BED" w:rsidRPr="00C27879">
        <w:rPr>
          <w:rFonts w:asciiTheme="minorHAnsi" w:eastAsia="Calibri" w:hAnsiTheme="minorHAnsi" w:cstheme="minorHAnsi"/>
          <w:lang w:val="en-US" w:eastAsia="en-US"/>
        </w:rPr>
        <w:t xml:space="preserve">with </w:t>
      </w:r>
      <w:r w:rsidRPr="00C27879">
        <w:rPr>
          <w:rFonts w:asciiTheme="minorHAnsi" w:eastAsia="Calibri" w:hAnsiTheme="minorHAnsi" w:cstheme="minorHAnsi"/>
          <w:lang w:val="en-US" w:eastAsia="en-US"/>
        </w:rPr>
        <w:t xml:space="preserve">the </w:t>
      </w:r>
      <w:r w:rsidR="00B87BED" w:rsidRPr="00C27879">
        <w:rPr>
          <w:rFonts w:asciiTheme="minorHAnsi" w:eastAsia="Calibri" w:hAnsiTheme="minorHAnsi" w:cstheme="minorHAnsi"/>
          <w:lang w:val="en-US" w:eastAsia="en-US"/>
        </w:rPr>
        <w:t>Tajikistan</w:t>
      </w:r>
      <w:r>
        <w:rPr>
          <w:rFonts w:asciiTheme="minorHAnsi" w:eastAsia="Calibri" w:hAnsiTheme="minorHAnsi" w:cstheme="minorHAnsi"/>
          <w:lang w:val="en-US" w:eastAsia="en-US"/>
        </w:rPr>
        <w:t>’s</w:t>
      </w:r>
      <w:r w:rsidR="00B87BED" w:rsidRPr="00C27879">
        <w:rPr>
          <w:rFonts w:asciiTheme="minorHAnsi" w:eastAsia="Calibri" w:hAnsiTheme="minorHAnsi" w:cstheme="minorHAnsi"/>
          <w:lang w:val="en-US" w:eastAsia="en-US"/>
        </w:rPr>
        <w:t xml:space="preserve"> Insurance Regulatory body (Seghorta) for mutual cooperation and facilitat</w:t>
      </w:r>
      <w:r>
        <w:rPr>
          <w:rFonts w:asciiTheme="minorHAnsi" w:eastAsia="Calibri" w:hAnsiTheme="minorHAnsi" w:cstheme="minorHAnsi"/>
          <w:lang w:val="en-US" w:eastAsia="en-US"/>
        </w:rPr>
        <w:t xml:space="preserve">ing the </w:t>
      </w:r>
      <w:r w:rsidR="00B87BED" w:rsidRPr="00C27879">
        <w:rPr>
          <w:rFonts w:asciiTheme="minorHAnsi" w:eastAsia="Calibri" w:hAnsiTheme="minorHAnsi" w:cstheme="minorHAnsi"/>
          <w:lang w:val="en-US" w:eastAsia="en-US"/>
        </w:rPr>
        <w:t>trade between the two nations.</w:t>
      </w:r>
    </w:p>
    <w:p w:rsidR="00C27879" w:rsidRPr="00C27879" w:rsidRDefault="00C27879" w:rsidP="00C27879">
      <w:pPr>
        <w:jc w:val="both"/>
        <w:rPr>
          <w:rFonts w:asciiTheme="minorHAnsi" w:eastAsia="Calibri" w:hAnsiTheme="minorHAnsi" w:cstheme="minorHAnsi"/>
          <w:lang w:val="en-US" w:eastAsia="en-US"/>
        </w:rPr>
      </w:pPr>
    </w:p>
    <w:p w:rsidR="00B87BED" w:rsidRPr="00C27879" w:rsidRDefault="00C27879" w:rsidP="00C27879">
      <w:pPr>
        <w:pStyle w:val="ListParagraph"/>
        <w:numPr>
          <w:ilvl w:val="0"/>
          <w:numId w:val="15"/>
        </w:numPr>
        <w:jc w:val="both"/>
        <w:rPr>
          <w:rFonts w:asciiTheme="minorHAnsi" w:eastAsia="Calibri" w:hAnsiTheme="minorHAnsi" w:cstheme="minorHAnsi"/>
          <w:lang w:val="en-US" w:eastAsia="en-US"/>
        </w:rPr>
      </w:pPr>
      <w:r w:rsidRPr="00C27879">
        <w:rPr>
          <w:rFonts w:asciiTheme="minorHAnsi" w:eastAsia="Calibri" w:hAnsiTheme="minorHAnsi" w:cstheme="minorHAnsi"/>
          <w:bCs/>
          <w:lang w:val="en-US" w:eastAsia="en-US"/>
        </w:rPr>
        <w:t xml:space="preserve">A </w:t>
      </w:r>
      <w:r w:rsidR="00B87BED" w:rsidRPr="00C27879">
        <w:rPr>
          <w:rFonts w:asciiTheme="minorHAnsi" w:eastAsia="Calibri" w:hAnsiTheme="minorHAnsi" w:cstheme="minorHAnsi"/>
          <w:bCs/>
          <w:lang w:val="en-US" w:eastAsia="en-US"/>
        </w:rPr>
        <w:t xml:space="preserve">Memorandum of Understanding </w:t>
      </w:r>
      <w:r w:rsidRPr="00C27879">
        <w:rPr>
          <w:rFonts w:asciiTheme="minorHAnsi" w:eastAsia="Calibri" w:hAnsiTheme="minorHAnsi" w:cstheme="minorHAnsi"/>
          <w:bCs/>
          <w:lang w:val="en-US" w:eastAsia="en-US"/>
        </w:rPr>
        <w:t xml:space="preserve">has been signed </w:t>
      </w:r>
      <w:r w:rsidR="00B87BED" w:rsidRPr="00C27879">
        <w:rPr>
          <w:rFonts w:asciiTheme="minorHAnsi" w:eastAsia="Calibri" w:hAnsiTheme="minorHAnsi" w:cstheme="minorHAnsi"/>
          <w:lang w:val="en-US" w:eastAsia="en-US"/>
        </w:rPr>
        <w:t xml:space="preserve">with </w:t>
      </w:r>
      <w:r>
        <w:rPr>
          <w:rFonts w:asciiTheme="minorHAnsi" w:eastAsia="Calibri" w:hAnsiTheme="minorHAnsi" w:cstheme="minorHAnsi"/>
          <w:lang w:val="en-US" w:eastAsia="en-US"/>
        </w:rPr>
        <w:t xml:space="preserve">the </w:t>
      </w:r>
      <w:r w:rsidR="00B87BED" w:rsidRPr="00C27879">
        <w:rPr>
          <w:rFonts w:asciiTheme="minorHAnsi" w:eastAsia="Calibri" w:hAnsiTheme="minorHAnsi" w:cstheme="minorHAnsi"/>
          <w:lang w:val="en-US" w:eastAsia="en-US"/>
        </w:rPr>
        <w:t>Chesterfield Lloyds of London</w:t>
      </w:r>
      <w:r>
        <w:rPr>
          <w:rFonts w:asciiTheme="minorHAnsi" w:eastAsia="Calibri" w:hAnsiTheme="minorHAnsi" w:cstheme="minorHAnsi"/>
          <w:lang w:val="en-US" w:eastAsia="en-US"/>
        </w:rPr>
        <w:t xml:space="preserve">’s insurance broker </w:t>
      </w:r>
      <w:r w:rsidR="00B87BED" w:rsidRPr="00C27879">
        <w:rPr>
          <w:rFonts w:asciiTheme="minorHAnsi" w:eastAsia="Calibri" w:hAnsiTheme="minorHAnsi" w:cstheme="minorHAnsi"/>
          <w:lang w:val="en-US" w:eastAsia="en-US" w:bidi="fa-IR"/>
        </w:rPr>
        <w:t>for the purpose of ensuring transparent activities of insurance companies in order to create beneficial cooperation and exchange of necessary information for monitoring, management and growth of insurance activities in accordance with international principles and standards.</w:t>
      </w:r>
    </w:p>
    <w:p w:rsidR="00B87BED" w:rsidRDefault="00B87BED" w:rsidP="00C27879">
      <w:pPr>
        <w:jc w:val="both"/>
        <w:rPr>
          <w:rFonts w:asciiTheme="minorHAnsi" w:eastAsia="Calibri" w:hAnsiTheme="minorHAnsi" w:cstheme="minorHAnsi"/>
          <w:lang w:val="en-US" w:eastAsia="en-US"/>
        </w:rPr>
      </w:pPr>
    </w:p>
    <w:p w:rsidR="00C27879" w:rsidRPr="00C27879" w:rsidRDefault="00C27879" w:rsidP="00C27879">
      <w:pPr>
        <w:jc w:val="both"/>
        <w:rPr>
          <w:rFonts w:asciiTheme="minorHAnsi" w:eastAsia="Calibri" w:hAnsiTheme="minorHAnsi" w:cstheme="minorHAnsi"/>
          <w:lang w:val="en-US" w:eastAsia="en-US"/>
        </w:rPr>
      </w:pPr>
    </w:p>
    <w:p w:rsidR="00B87BED" w:rsidRPr="00C27879" w:rsidRDefault="00B87BED" w:rsidP="00C27879">
      <w:pPr>
        <w:pStyle w:val="Heading3"/>
        <w:rPr>
          <w:rFonts w:eastAsia="Calibri"/>
        </w:rPr>
      </w:pPr>
      <w:bookmarkStart w:id="28" w:name="_Toc43808721"/>
      <w:r w:rsidRPr="00C27879">
        <w:rPr>
          <w:rFonts w:eastAsia="Calibri"/>
        </w:rPr>
        <w:t>4.6</w:t>
      </w:r>
      <w:r w:rsidR="00C27879">
        <w:rPr>
          <w:rFonts w:eastAsia="Calibri"/>
        </w:rPr>
        <w:t>.1</w:t>
      </w:r>
      <w:r w:rsidRPr="00C27879">
        <w:rPr>
          <w:rFonts w:eastAsia="Calibri"/>
        </w:rPr>
        <w:t xml:space="preserve"> </w:t>
      </w:r>
      <w:r w:rsidRPr="00C27879">
        <w:rPr>
          <w:rFonts w:eastAsia="Calibri"/>
        </w:rPr>
        <w:tab/>
        <w:t>Domestic</w:t>
      </w:r>
      <w:bookmarkEnd w:id="28"/>
    </w:p>
    <w:p w:rsidR="00757A7F" w:rsidRPr="00C27879" w:rsidRDefault="00757A7F" w:rsidP="00C27879">
      <w:pPr>
        <w:jc w:val="both"/>
        <w:rPr>
          <w:rFonts w:asciiTheme="minorHAnsi" w:eastAsia="Calibri" w:hAnsiTheme="minorHAnsi" w:cstheme="minorHAnsi"/>
        </w:rPr>
      </w:pPr>
    </w:p>
    <w:p w:rsidR="00B87BED" w:rsidRDefault="00C27879" w:rsidP="00C27879">
      <w:pPr>
        <w:pStyle w:val="ListParagraph"/>
        <w:numPr>
          <w:ilvl w:val="0"/>
          <w:numId w:val="18"/>
        </w:numPr>
        <w:jc w:val="both"/>
        <w:rPr>
          <w:rFonts w:asciiTheme="minorHAnsi" w:eastAsia="Calibri" w:hAnsiTheme="minorHAnsi" w:cstheme="minorHAnsi"/>
          <w:lang w:val="en-US" w:eastAsia="en-US"/>
        </w:rPr>
      </w:pPr>
      <w:r w:rsidRPr="003A6431">
        <w:rPr>
          <w:rFonts w:asciiTheme="minorHAnsi" w:eastAsia="Calibri" w:hAnsiTheme="minorHAnsi" w:cstheme="minorHAnsi"/>
          <w:bCs/>
          <w:lang w:val="en-US" w:eastAsia="en-US"/>
        </w:rPr>
        <w:t xml:space="preserve">A </w:t>
      </w:r>
      <w:r w:rsidR="00B87BED" w:rsidRPr="003A6431">
        <w:rPr>
          <w:rFonts w:asciiTheme="minorHAnsi" w:eastAsia="Calibri" w:hAnsiTheme="minorHAnsi" w:cstheme="minorHAnsi"/>
          <w:bCs/>
          <w:lang w:val="en-US" w:eastAsia="en-US"/>
        </w:rPr>
        <w:t>Memorandum of Understanding</w:t>
      </w:r>
      <w:r w:rsidR="003A6431" w:rsidRPr="003A6431">
        <w:rPr>
          <w:rFonts w:asciiTheme="minorHAnsi" w:eastAsia="Calibri" w:hAnsiTheme="minorHAnsi" w:cstheme="minorHAnsi"/>
          <w:bCs/>
          <w:lang w:val="en-US" w:eastAsia="en-US"/>
        </w:rPr>
        <w:t xml:space="preserve"> has been signed with the </w:t>
      </w:r>
      <w:r w:rsidR="003A6431">
        <w:rPr>
          <w:rFonts w:asciiTheme="minorHAnsi" w:eastAsia="Calibri" w:hAnsiTheme="minorHAnsi" w:cstheme="minorHAnsi"/>
          <w:lang w:val="en-US" w:eastAsia="en-US"/>
        </w:rPr>
        <w:t>General D</w:t>
      </w:r>
      <w:r w:rsidR="006D6E3F" w:rsidRPr="00C27879">
        <w:rPr>
          <w:rFonts w:asciiTheme="minorHAnsi" w:eastAsia="Calibri" w:hAnsiTheme="minorHAnsi" w:cstheme="minorHAnsi"/>
          <w:lang w:val="en-US" w:eastAsia="en-US"/>
        </w:rPr>
        <w:t xml:space="preserve">irectorate of </w:t>
      </w:r>
      <w:r w:rsidR="003A6431">
        <w:rPr>
          <w:rFonts w:asciiTheme="minorHAnsi" w:eastAsia="Calibri" w:hAnsiTheme="minorHAnsi" w:cstheme="minorHAnsi"/>
          <w:lang w:val="en-US" w:eastAsia="en-US"/>
        </w:rPr>
        <w:t xml:space="preserve">the </w:t>
      </w:r>
      <w:r w:rsidR="006D6E3F" w:rsidRPr="00C27879">
        <w:rPr>
          <w:rFonts w:asciiTheme="minorHAnsi" w:eastAsia="Calibri" w:hAnsiTheme="minorHAnsi" w:cstheme="minorHAnsi"/>
          <w:lang w:val="en-US" w:eastAsia="en-US"/>
        </w:rPr>
        <w:t xml:space="preserve">central registry and intellectual properties of </w:t>
      </w:r>
      <w:r w:rsidR="003A6431">
        <w:rPr>
          <w:rFonts w:asciiTheme="minorHAnsi" w:eastAsia="Calibri" w:hAnsiTheme="minorHAnsi" w:cstheme="minorHAnsi"/>
          <w:lang w:val="en-US" w:eastAsia="en-US"/>
        </w:rPr>
        <w:t xml:space="preserve">the </w:t>
      </w:r>
      <w:r w:rsidR="006D6E3F" w:rsidRPr="00C27879">
        <w:rPr>
          <w:rFonts w:asciiTheme="minorHAnsi" w:eastAsia="Calibri" w:hAnsiTheme="minorHAnsi" w:cstheme="minorHAnsi"/>
          <w:lang w:val="en-US" w:eastAsia="en-US"/>
        </w:rPr>
        <w:t>Ministry of Commerce and Industries for the purpose to determine the rights and obligations of the parties and to create and activate a representative desk of GDIA under the umbrella of the Central Registry Office and the Ministry of Commerce and Industries to facilitate license issuance process.</w:t>
      </w:r>
    </w:p>
    <w:p w:rsidR="003A6431" w:rsidRPr="003A6431" w:rsidRDefault="003A6431" w:rsidP="003A6431">
      <w:pPr>
        <w:jc w:val="both"/>
        <w:rPr>
          <w:rFonts w:asciiTheme="minorHAnsi" w:eastAsia="Calibri" w:hAnsiTheme="minorHAnsi" w:cstheme="minorHAnsi"/>
          <w:lang w:val="en-US" w:eastAsia="en-US"/>
        </w:rPr>
      </w:pPr>
    </w:p>
    <w:p w:rsidR="006D6E3F" w:rsidRPr="00C27879" w:rsidRDefault="003A6431" w:rsidP="00C27879">
      <w:pPr>
        <w:pStyle w:val="ListParagraph"/>
        <w:numPr>
          <w:ilvl w:val="0"/>
          <w:numId w:val="18"/>
        </w:numPr>
        <w:jc w:val="both"/>
        <w:rPr>
          <w:rFonts w:asciiTheme="minorHAnsi" w:eastAsia="Calibri" w:hAnsiTheme="minorHAnsi" w:cstheme="minorHAnsi"/>
          <w:lang w:val="en-US" w:eastAsia="en-US"/>
        </w:rPr>
      </w:pPr>
      <w:r w:rsidRPr="003A6431">
        <w:rPr>
          <w:rFonts w:asciiTheme="minorHAnsi" w:eastAsia="Calibri" w:hAnsiTheme="minorHAnsi" w:cstheme="minorHAnsi"/>
          <w:bCs/>
          <w:lang w:val="en-US" w:eastAsia="en-US"/>
        </w:rPr>
        <w:t xml:space="preserve">A </w:t>
      </w:r>
      <w:r w:rsidR="006D6E3F" w:rsidRPr="003A6431">
        <w:rPr>
          <w:rFonts w:asciiTheme="minorHAnsi" w:eastAsia="Calibri" w:hAnsiTheme="minorHAnsi" w:cstheme="minorHAnsi"/>
          <w:bCs/>
          <w:lang w:val="en-US" w:eastAsia="en-US"/>
        </w:rPr>
        <w:t xml:space="preserve">Memorandum of Understanding </w:t>
      </w:r>
      <w:r w:rsidRPr="003A6431">
        <w:rPr>
          <w:rFonts w:asciiTheme="minorHAnsi" w:eastAsia="Calibri" w:hAnsiTheme="minorHAnsi" w:cstheme="minorHAnsi"/>
          <w:bCs/>
          <w:lang w:val="en-US" w:eastAsia="en-US"/>
        </w:rPr>
        <w:t xml:space="preserve">has been signed </w:t>
      </w:r>
      <w:r w:rsidR="006D6E3F" w:rsidRPr="00C27879">
        <w:rPr>
          <w:rFonts w:asciiTheme="minorHAnsi" w:eastAsia="Calibri" w:hAnsiTheme="minorHAnsi" w:cstheme="minorHAnsi"/>
          <w:lang w:val="en-US" w:eastAsia="en-US"/>
        </w:rPr>
        <w:t>between the General Directorate of Insurance Affairs of the Ministry of Finance and the Directorate of Export promotion, the Legal Directorate and the Directorate of Exhibitions of the Ministry of Trade and Industry.</w:t>
      </w:r>
      <w:r w:rsidR="00757A7F" w:rsidRPr="00C27879">
        <w:rPr>
          <w:rFonts w:asciiTheme="minorHAnsi" w:eastAsia="Calibri" w:hAnsiTheme="minorHAnsi" w:cstheme="minorHAnsi"/>
          <w:lang w:val="en-US" w:eastAsia="en-US"/>
        </w:rPr>
        <w:t xml:space="preserve"> </w:t>
      </w:r>
      <w:r>
        <w:rPr>
          <w:rFonts w:asciiTheme="minorHAnsi" w:eastAsia="Calibri" w:hAnsiTheme="minorHAnsi" w:cstheme="minorHAnsi"/>
          <w:lang w:val="en-US" w:eastAsia="en-US"/>
        </w:rPr>
        <w:t xml:space="preserve"> </w:t>
      </w:r>
      <w:r w:rsidR="00757A7F" w:rsidRPr="00C27879">
        <w:rPr>
          <w:rFonts w:asciiTheme="minorHAnsi" w:eastAsia="Calibri" w:hAnsiTheme="minorHAnsi" w:cstheme="minorHAnsi"/>
          <w:lang w:val="en-US" w:eastAsia="en-US"/>
        </w:rPr>
        <w:t xml:space="preserve">This memorandum is aimed at ensuring continuous engagement and professional </w:t>
      </w:r>
      <w:r w:rsidR="00757A7F" w:rsidRPr="00C27879">
        <w:rPr>
          <w:rFonts w:asciiTheme="minorHAnsi" w:eastAsia="Calibri" w:hAnsiTheme="minorHAnsi" w:cstheme="minorHAnsi"/>
          <w:lang w:val="en-US" w:eastAsia="en-US"/>
        </w:rPr>
        <w:lastRenderedPageBreak/>
        <w:t>relations, efficiency and strengthening multilateral cooperation for the development of the insurance, trade and domestic industries sectors.</w:t>
      </w:r>
    </w:p>
    <w:p w:rsidR="003A6431" w:rsidRPr="003A6431" w:rsidRDefault="003A6431" w:rsidP="003A6431">
      <w:pPr>
        <w:jc w:val="both"/>
        <w:rPr>
          <w:rFonts w:asciiTheme="minorHAnsi" w:eastAsia="Calibri" w:hAnsiTheme="minorHAnsi" w:cstheme="minorHAnsi"/>
          <w:lang w:val="en-US" w:eastAsia="en-US"/>
        </w:rPr>
      </w:pPr>
    </w:p>
    <w:p w:rsidR="00757A7F" w:rsidRPr="00C27879" w:rsidRDefault="003A6431" w:rsidP="00C27879">
      <w:pPr>
        <w:pStyle w:val="ListParagraph"/>
        <w:numPr>
          <w:ilvl w:val="0"/>
          <w:numId w:val="18"/>
        </w:numPr>
        <w:jc w:val="both"/>
        <w:rPr>
          <w:rFonts w:asciiTheme="minorHAnsi" w:eastAsia="Calibri" w:hAnsiTheme="minorHAnsi" w:cstheme="minorHAnsi"/>
          <w:lang w:val="en-US" w:eastAsia="en-US"/>
        </w:rPr>
      </w:pPr>
      <w:r w:rsidRPr="003A6431">
        <w:rPr>
          <w:rFonts w:asciiTheme="minorHAnsi" w:eastAsia="Calibri" w:hAnsiTheme="minorHAnsi" w:cstheme="minorHAnsi"/>
          <w:bCs/>
          <w:lang w:val="en-US" w:eastAsia="en-US"/>
        </w:rPr>
        <w:t xml:space="preserve">A </w:t>
      </w:r>
      <w:r w:rsidR="00757A7F" w:rsidRPr="003A6431">
        <w:rPr>
          <w:rFonts w:asciiTheme="minorHAnsi" w:eastAsia="Calibri" w:hAnsiTheme="minorHAnsi" w:cstheme="minorHAnsi"/>
          <w:bCs/>
          <w:lang w:val="en-US" w:eastAsia="en-US"/>
        </w:rPr>
        <w:t xml:space="preserve">Memorandum of Understanding </w:t>
      </w:r>
      <w:r w:rsidRPr="003A6431">
        <w:rPr>
          <w:rFonts w:asciiTheme="minorHAnsi" w:eastAsia="Calibri" w:hAnsiTheme="minorHAnsi" w:cstheme="minorHAnsi"/>
          <w:bCs/>
          <w:lang w:val="en-US" w:eastAsia="en-US"/>
        </w:rPr>
        <w:t xml:space="preserve">has been signed </w:t>
      </w:r>
      <w:r w:rsidR="00757A7F" w:rsidRPr="003A6431">
        <w:rPr>
          <w:rFonts w:asciiTheme="minorHAnsi" w:eastAsia="Calibri" w:hAnsiTheme="minorHAnsi" w:cstheme="minorHAnsi"/>
          <w:lang w:val="en-US" w:eastAsia="en-US"/>
        </w:rPr>
        <w:t xml:space="preserve">with </w:t>
      </w:r>
      <w:r w:rsidRPr="003A6431">
        <w:rPr>
          <w:rFonts w:asciiTheme="minorHAnsi" w:eastAsia="Calibri" w:hAnsiTheme="minorHAnsi" w:cstheme="minorHAnsi"/>
          <w:lang w:val="en-US" w:eastAsia="en-US"/>
        </w:rPr>
        <w:t xml:space="preserve">the </w:t>
      </w:r>
      <w:r w:rsidR="00757A7F" w:rsidRPr="00C27879">
        <w:rPr>
          <w:rFonts w:asciiTheme="minorHAnsi" w:eastAsia="Calibri" w:hAnsiTheme="minorHAnsi" w:cstheme="minorHAnsi"/>
          <w:lang w:val="en-US" w:eastAsia="en-US"/>
        </w:rPr>
        <w:t>Faculty of Economics of the Kabul University for including insurance in the curriculum and to provide required transfer of knowledge to the new graduates on insurance.</w:t>
      </w:r>
    </w:p>
    <w:p w:rsidR="003A6431" w:rsidRPr="003A6431" w:rsidRDefault="003A6431" w:rsidP="003A6431">
      <w:pPr>
        <w:pStyle w:val="ListParagraph"/>
        <w:jc w:val="both"/>
        <w:rPr>
          <w:rFonts w:asciiTheme="minorHAnsi" w:eastAsia="Calibri" w:hAnsiTheme="minorHAnsi" w:cstheme="minorHAnsi"/>
          <w:lang w:val="en-US" w:eastAsia="en-US"/>
        </w:rPr>
      </w:pPr>
    </w:p>
    <w:p w:rsidR="00757A7F" w:rsidRPr="00C27879" w:rsidRDefault="003A6431" w:rsidP="00C27879">
      <w:pPr>
        <w:pStyle w:val="ListParagraph"/>
        <w:numPr>
          <w:ilvl w:val="0"/>
          <w:numId w:val="18"/>
        </w:numPr>
        <w:jc w:val="both"/>
        <w:rPr>
          <w:rFonts w:asciiTheme="minorHAnsi" w:eastAsia="Calibri" w:hAnsiTheme="minorHAnsi" w:cstheme="minorHAnsi"/>
          <w:lang w:val="en-US" w:eastAsia="en-US"/>
        </w:rPr>
      </w:pPr>
      <w:r w:rsidRPr="003A6431">
        <w:rPr>
          <w:rFonts w:asciiTheme="minorHAnsi" w:eastAsia="Calibri" w:hAnsiTheme="minorHAnsi" w:cstheme="minorHAnsi"/>
          <w:bCs/>
          <w:lang w:val="en-US" w:eastAsia="en-US"/>
        </w:rPr>
        <w:t xml:space="preserve">A </w:t>
      </w:r>
      <w:r w:rsidR="00757A7F" w:rsidRPr="003A6431">
        <w:rPr>
          <w:rFonts w:asciiTheme="minorHAnsi" w:eastAsia="Calibri" w:hAnsiTheme="minorHAnsi" w:cstheme="minorHAnsi"/>
          <w:bCs/>
          <w:lang w:val="en-US" w:eastAsia="en-US"/>
        </w:rPr>
        <w:t xml:space="preserve">Memorandum of Understanding </w:t>
      </w:r>
      <w:r w:rsidRPr="003A6431">
        <w:rPr>
          <w:rFonts w:asciiTheme="minorHAnsi" w:eastAsia="Calibri" w:hAnsiTheme="minorHAnsi" w:cstheme="minorHAnsi"/>
          <w:bCs/>
          <w:lang w:val="en-US" w:eastAsia="en-US"/>
        </w:rPr>
        <w:t xml:space="preserve">has been signed </w:t>
      </w:r>
      <w:r w:rsidR="00757A7F" w:rsidRPr="003A6431">
        <w:rPr>
          <w:rFonts w:asciiTheme="minorHAnsi" w:eastAsia="Calibri" w:hAnsiTheme="minorHAnsi" w:cstheme="minorHAnsi"/>
          <w:lang w:val="en-US" w:eastAsia="en-US"/>
        </w:rPr>
        <w:t xml:space="preserve">with </w:t>
      </w:r>
      <w:r w:rsidRPr="003A6431">
        <w:rPr>
          <w:rFonts w:asciiTheme="minorHAnsi" w:eastAsia="Calibri" w:hAnsiTheme="minorHAnsi" w:cstheme="minorHAnsi"/>
          <w:lang w:val="en-US" w:eastAsia="en-US"/>
        </w:rPr>
        <w:t xml:space="preserve">the </w:t>
      </w:r>
      <w:r w:rsidR="00757A7F" w:rsidRPr="00C27879">
        <w:rPr>
          <w:rFonts w:asciiTheme="minorHAnsi" w:eastAsia="Calibri" w:hAnsiTheme="minorHAnsi" w:cstheme="minorHAnsi"/>
          <w:lang w:val="en-US" w:eastAsia="en-US"/>
        </w:rPr>
        <w:t>Da Afghanistan Bank (DAB) for the purpose of sharing information, knowledge and experiences specifically in supervision department and to facilitate educational programs to GDIA as and when required.</w:t>
      </w:r>
    </w:p>
    <w:p w:rsidR="00B87BED" w:rsidRDefault="00B87BED" w:rsidP="00C27879">
      <w:pPr>
        <w:jc w:val="both"/>
        <w:rPr>
          <w:rFonts w:asciiTheme="minorHAnsi" w:eastAsia="Calibri" w:hAnsiTheme="minorHAnsi" w:cstheme="minorHAnsi"/>
          <w:lang w:val="en-US" w:eastAsia="en-US"/>
        </w:rPr>
      </w:pPr>
    </w:p>
    <w:p w:rsidR="003A6431" w:rsidRDefault="003A6431" w:rsidP="00C27879">
      <w:pPr>
        <w:jc w:val="both"/>
        <w:rPr>
          <w:rFonts w:asciiTheme="minorHAnsi" w:eastAsia="Calibri" w:hAnsiTheme="minorHAnsi" w:cstheme="minorHAnsi"/>
          <w:lang w:val="en-US" w:eastAsia="en-US"/>
        </w:rPr>
      </w:pPr>
    </w:p>
    <w:p w:rsidR="003A6431" w:rsidRPr="003A6431" w:rsidRDefault="003A6431" w:rsidP="003A6431">
      <w:pPr>
        <w:pStyle w:val="Heading2"/>
        <w:rPr>
          <w:rFonts w:asciiTheme="minorHAnsi" w:eastAsia="Calibri" w:hAnsiTheme="minorHAnsi" w:cstheme="minorHAnsi"/>
          <w:color w:val="auto"/>
          <w:lang w:val="en-US" w:eastAsia="en-US"/>
        </w:rPr>
      </w:pPr>
      <w:bookmarkStart w:id="29" w:name="_Toc43808722"/>
      <w:r>
        <w:rPr>
          <w:rFonts w:eastAsia="Calibri"/>
        </w:rPr>
        <w:t>4.7</w:t>
      </w:r>
      <w:r>
        <w:rPr>
          <w:rFonts w:eastAsia="Calibri"/>
        </w:rPr>
        <w:tab/>
        <w:t>Other a</w:t>
      </w:r>
      <w:r w:rsidRPr="003A6431">
        <w:rPr>
          <w:rFonts w:eastAsia="Calibri"/>
        </w:rPr>
        <w:t>ctivities and functions performed by GDIA</w:t>
      </w:r>
      <w:bookmarkEnd w:id="29"/>
    </w:p>
    <w:p w:rsidR="003A6431" w:rsidRDefault="003A6431" w:rsidP="003A6431">
      <w:pPr>
        <w:pStyle w:val="NoSpacing"/>
        <w:jc w:val="both"/>
        <w:rPr>
          <w:rFonts w:eastAsia="Calibri" w:cstheme="minorHAnsi"/>
          <w:b/>
          <w:bCs/>
          <w:sz w:val="24"/>
          <w:szCs w:val="24"/>
        </w:rPr>
      </w:pPr>
    </w:p>
    <w:p w:rsidR="00B34DD5" w:rsidRPr="005743F3" w:rsidRDefault="007F0D3C" w:rsidP="005743F3">
      <w:pPr>
        <w:pStyle w:val="NoSpacing"/>
        <w:numPr>
          <w:ilvl w:val="0"/>
          <w:numId w:val="18"/>
        </w:numPr>
        <w:jc w:val="both"/>
        <w:rPr>
          <w:rFonts w:eastAsia="Calibri" w:cstheme="minorHAnsi"/>
          <w:bCs/>
          <w:sz w:val="24"/>
          <w:szCs w:val="24"/>
          <w:lang w:bidi="prs-AF"/>
        </w:rPr>
      </w:pPr>
      <w:r w:rsidRPr="003A6431">
        <w:rPr>
          <w:rFonts w:eastAsia="Calibri" w:cstheme="minorHAnsi"/>
          <w:b/>
          <w:bCs/>
          <w:sz w:val="24"/>
          <w:szCs w:val="24"/>
        </w:rPr>
        <w:t>Controlling fraud and illegal activities:</w:t>
      </w:r>
      <w:r w:rsidRPr="003A6431">
        <w:rPr>
          <w:rFonts w:eastAsia="Calibri" w:cstheme="minorHAnsi"/>
          <w:bCs/>
          <w:sz w:val="24"/>
          <w:szCs w:val="24"/>
        </w:rPr>
        <w:t xml:space="preserve"> Since protecting the rights of customers, </w:t>
      </w:r>
      <w:r w:rsidR="003A6431" w:rsidRPr="003A6431">
        <w:rPr>
          <w:rFonts w:eastAsia="Calibri" w:cstheme="minorHAnsi"/>
          <w:bCs/>
          <w:sz w:val="24"/>
          <w:szCs w:val="24"/>
        </w:rPr>
        <w:t xml:space="preserve">as well as the </w:t>
      </w:r>
      <w:r w:rsidRPr="003A6431">
        <w:rPr>
          <w:rFonts w:eastAsia="Calibri" w:cstheme="minorHAnsi"/>
          <w:bCs/>
          <w:sz w:val="24"/>
          <w:szCs w:val="24"/>
        </w:rPr>
        <w:t>insurance operators</w:t>
      </w:r>
      <w:r w:rsidR="003A6431" w:rsidRPr="003A6431">
        <w:rPr>
          <w:rFonts w:eastAsia="Calibri" w:cstheme="minorHAnsi"/>
          <w:bCs/>
          <w:sz w:val="24"/>
          <w:szCs w:val="24"/>
        </w:rPr>
        <w:t xml:space="preserve"> </w:t>
      </w:r>
      <w:r w:rsidRPr="003A6431">
        <w:rPr>
          <w:rFonts w:eastAsia="Calibri" w:cstheme="minorHAnsi"/>
          <w:bCs/>
          <w:sz w:val="24"/>
          <w:szCs w:val="24"/>
        </w:rPr>
        <w:t xml:space="preserve">is one of the </w:t>
      </w:r>
      <w:r w:rsidR="00581AA8" w:rsidRPr="003A6431">
        <w:rPr>
          <w:rFonts w:eastAsia="Calibri" w:cstheme="minorHAnsi"/>
          <w:bCs/>
          <w:sz w:val="24"/>
          <w:szCs w:val="24"/>
        </w:rPr>
        <w:t>main</w:t>
      </w:r>
      <w:r w:rsidRPr="003A6431">
        <w:rPr>
          <w:rFonts w:eastAsia="Calibri" w:cstheme="minorHAnsi"/>
          <w:bCs/>
          <w:sz w:val="24"/>
          <w:szCs w:val="24"/>
        </w:rPr>
        <w:t xml:space="preserve"> duties of the General Directorate of Insurance</w:t>
      </w:r>
      <w:r w:rsidR="00581AA8" w:rsidRPr="003A6431">
        <w:rPr>
          <w:rFonts w:eastAsia="Calibri" w:cstheme="minorHAnsi"/>
          <w:bCs/>
          <w:sz w:val="24"/>
          <w:szCs w:val="24"/>
        </w:rPr>
        <w:t xml:space="preserve"> being the </w:t>
      </w:r>
      <w:r w:rsidR="003A6431" w:rsidRPr="003A6431">
        <w:rPr>
          <w:rFonts w:eastAsia="Calibri" w:cstheme="minorHAnsi"/>
          <w:bCs/>
          <w:sz w:val="24"/>
          <w:szCs w:val="24"/>
        </w:rPr>
        <w:t xml:space="preserve">insurance </w:t>
      </w:r>
      <w:r w:rsidR="00581AA8" w:rsidRPr="003A6431">
        <w:rPr>
          <w:rFonts w:eastAsia="Calibri" w:cstheme="minorHAnsi"/>
          <w:bCs/>
          <w:sz w:val="24"/>
          <w:szCs w:val="24"/>
        </w:rPr>
        <w:t>sector</w:t>
      </w:r>
      <w:r w:rsidR="003A6431" w:rsidRPr="003A6431">
        <w:rPr>
          <w:rFonts w:eastAsia="Calibri" w:cstheme="minorHAnsi"/>
          <w:bCs/>
          <w:sz w:val="24"/>
          <w:szCs w:val="24"/>
        </w:rPr>
        <w:t>’s</w:t>
      </w:r>
      <w:r w:rsidR="00581AA8" w:rsidRPr="003A6431">
        <w:rPr>
          <w:rFonts w:eastAsia="Calibri" w:cstheme="minorHAnsi"/>
          <w:bCs/>
          <w:sz w:val="24"/>
          <w:szCs w:val="24"/>
        </w:rPr>
        <w:t xml:space="preserve"> regulator</w:t>
      </w:r>
      <w:r w:rsidR="003A6431" w:rsidRPr="003A6431">
        <w:rPr>
          <w:rFonts w:eastAsia="Calibri" w:cstheme="minorHAnsi"/>
          <w:bCs/>
          <w:sz w:val="24"/>
          <w:szCs w:val="24"/>
        </w:rPr>
        <w:t xml:space="preserve">, it has been working to </w:t>
      </w:r>
      <w:r w:rsidR="00581AA8" w:rsidRPr="003A6431">
        <w:rPr>
          <w:rFonts w:eastAsia="Calibri" w:cstheme="minorHAnsi"/>
          <w:bCs/>
          <w:sz w:val="24"/>
          <w:szCs w:val="24"/>
        </w:rPr>
        <w:t xml:space="preserve">encounter any potential illegal activity, especially in the health and travel insurance business in Afghanistan. </w:t>
      </w:r>
      <w:r w:rsidR="003A6431" w:rsidRPr="003A6431">
        <w:rPr>
          <w:rFonts w:eastAsia="Calibri" w:cstheme="minorHAnsi"/>
          <w:bCs/>
          <w:sz w:val="24"/>
          <w:szCs w:val="24"/>
        </w:rPr>
        <w:t xml:space="preserve"> </w:t>
      </w:r>
      <w:r w:rsidR="00581AA8" w:rsidRPr="003A6431">
        <w:rPr>
          <w:rFonts w:eastAsia="Calibri" w:cstheme="minorHAnsi"/>
          <w:bCs/>
          <w:sz w:val="24"/>
          <w:szCs w:val="24"/>
        </w:rPr>
        <w:t>The legal v</w:t>
      </w:r>
      <w:r w:rsidRPr="003A6431">
        <w:rPr>
          <w:rFonts w:eastAsia="Calibri" w:cstheme="minorHAnsi"/>
          <w:bCs/>
          <w:sz w:val="24"/>
          <w:szCs w:val="24"/>
        </w:rPr>
        <w:t xml:space="preserve">iolations </w:t>
      </w:r>
      <w:r w:rsidR="00581AA8" w:rsidRPr="003A6431">
        <w:rPr>
          <w:rFonts w:eastAsia="Calibri" w:cstheme="minorHAnsi"/>
          <w:bCs/>
          <w:sz w:val="24"/>
          <w:szCs w:val="24"/>
        </w:rPr>
        <w:t xml:space="preserve">department at GDIA has performed its duties and activities </w:t>
      </w:r>
      <w:r w:rsidR="003A6431" w:rsidRPr="003A6431">
        <w:rPr>
          <w:rFonts w:eastAsia="Calibri" w:cstheme="minorHAnsi"/>
          <w:bCs/>
          <w:sz w:val="24"/>
          <w:szCs w:val="24"/>
        </w:rPr>
        <w:t>by p</w:t>
      </w:r>
      <w:r w:rsidRPr="003A6431">
        <w:rPr>
          <w:rFonts w:eastAsia="Calibri" w:cstheme="minorHAnsi"/>
          <w:bCs/>
          <w:sz w:val="24"/>
          <w:szCs w:val="24"/>
          <w:lang w:bidi="prs-AF"/>
        </w:rPr>
        <w:t>reventin</w:t>
      </w:r>
      <w:r w:rsidR="003A6431" w:rsidRPr="003A6431">
        <w:rPr>
          <w:rFonts w:eastAsia="Calibri" w:cstheme="minorHAnsi"/>
          <w:bCs/>
          <w:sz w:val="24"/>
          <w:szCs w:val="24"/>
          <w:lang w:bidi="prs-AF"/>
        </w:rPr>
        <w:t xml:space="preserve">g illegal insurance activities and </w:t>
      </w:r>
      <w:r w:rsidRPr="003A6431">
        <w:rPr>
          <w:rFonts w:eastAsia="Calibri" w:cstheme="minorHAnsi"/>
          <w:bCs/>
          <w:sz w:val="24"/>
          <w:szCs w:val="24"/>
          <w:lang w:bidi="prs-AF"/>
        </w:rPr>
        <w:t>violations.</w:t>
      </w:r>
      <w:r w:rsidR="003A6431" w:rsidRPr="003A6431">
        <w:rPr>
          <w:rFonts w:eastAsia="Calibri" w:cstheme="minorHAnsi"/>
          <w:bCs/>
          <w:sz w:val="24"/>
          <w:szCs w:val="24"/>
          <w:lang w:bidi="prs-AF"/>
        </w:rPr>
        <w:t xml:space="preserve">  It has also been </w:t>
      </w:r>
      <w:r w:rsidR="003A6431">
        <w:rPr>
          <w:rFonts w:eastAsia="Calibri" w:cstheme="minorHAnsi"/>
          <w:bCs/>
          <w:sz w:val="24"/>
          <w:szCs w:val="24"/>
          <w:lang w:bidi="prs-AF"/>
        </w:rPr>
        <w:t>i</w:t>
      </w:r>
      <w:r w:rsidRPr="003A6431">
        <w:rPr>
          <w:rFonts w:eastAsia="Calibri" w:cstheme="minorHAnsi"/>
          <w:bCs/>
          <w:sz w:val="24"/>
          <w:szCs w:val="24"/>
          <w:lang w:bidi="prs-AF"/>
        </w:rPr>
        <w:t>nvestigat</w:t>
      </w:r>
      <w:r w:rsidR="003A6431">
        <w:rPr>
          <w:rFonts w:eastAsia="Calibri" w:cstheme="minorHAnsi"/>
          <w:bCs/>
          <w:sz w:val="24"/>
          <w:szCs w:val="24"/>
          <w:lang w:bidi="prs-AF"/>
        </w:rPr>
        <w:t xml:space="preserve">ing </w:t>
      </w:r>
      <w:r w:rsidRPr="003A6431">
        <w:rPr>
          <w:rFonts w:eastAsia="Calibri" w:cstheme="minorHAnsi"/>
          <w:bCs/>
          <w:sz w:val="24"/>
          <w:szCs w:val="24"/>
          <w:lang w:bidi="prs-AF"/>
        </w:rPr>
        <w:t xml:space="preserve">the complaints and </w:t>
      </w:r>
      <w:r w:rsidR="005743F3">
        <w:rPr>
          <w:rFonts w:eastAsia="Calibri" w:cstheme="minorHAnsi"/>
          <w:bCs/>
          <w:sz w:val="24"/>
          <w:szCs w:val="24"/>
          <w:lang w:bidi="prs-AF"/>
        </w:rPr>
        <w:t>issue</w:t>
      </w:r>
      <w:r w:rsidRPr="003A6431">
        <w:rPr>
          <w:rFonts w:eastAsia="Calibri" w:cstheme="minorHAnsi"/>
          <w:bCs/>
          <w:sz w:val="24"/>
          <w:szCs w:val="24"/>
          <w:lang w:bidi="prs-AF"/>
        </w:rPr>
        <w:t xml:space="preserve">s </w:t>
      </w:r>
      <w:r w:rsidR="00B34DD5" w:rsidRPr="003A6431">
        <w:rPr>
          <w:rFonts w:eastAsia="Calibri" w:cstheme="minorHAnsi"/>
          <w:bCs/>
          <w:sz w:val="24"/>
          <w:szCs w:val="24"/>
          <w:lang w:bidi="prs-AF"/>
        </w:rPr>
        <w:t>raised by the</w:t>
      </w:r>
      <w:r w:rsidRPr="003A6431">
        <w:rPr>
          <w:rFonts w:eastAsia="Calibri" w:cstheme="minorHAnsi"/>
          <w:bCs/>
          <w:sz w:val="24"/>
          <w:szCs w:val="24"/>
          <w:lang w:bidi="prs-AF"/>
        </w:rPr>
        <w:t xml:space="preserve"> insurance customers in accordance with the provisions of the insurance law.</w:t>
      </w:r>
      <w:r w:rsidR="005743F3">
        <w:rPr>
          <w:rFonts w:eastAsia="Calibri" w:cstheme="minorHAnsi"/>
          <w:bCs/>
          <w:sz w:val="24"/>
          <w:szCs w:val="24"/>
          <w:lang w:bidi="prs-AF"/>
        </w:rPr>
        <w:t xml:space="preserve">  </w:t>
      </w:r>
      <w:r w:rsidR="00B34DD5" w:rsidRPr="005743F3">
        <w:rPr>
          <w:rFonts w:eastAsia="Calibri" w:cstheme="minorHAnsi"/>
          <w:bCs/>
          <w:sz w:val="24"/>
          <w:szCs w:val="24"/>
        </w:rPr>
        <w:t xml:space="preserve">During the course of the year, 15 different legal cases bearing violation and complaints were reported by the supervision team and subsequently documented by the violations department for each of which timely actions were carried out for redresses.  These cases varied in nature as illegal sale of insurance product, non-compensation by the insurance companies, insurance operators non-reporting and delayed reporting of financials, monopolistic acts and complaints at customs. </w:t>
      </w:r>
    </w:p>
    <w:p w:rsidR="007D5F9A" w:rsidRDefault="007D5F9A" w:rsidP="007D5F9A">
      <w:pPr>
        <w:pStyle w:val="NoSpacing"/>
        <w:ind w:left="720"/>
        <w:jc w:val="both"/>
        <w:rPr>
          <w:rFonts w:eastAsia="Calibri"/>
          <w:bCs/>
        </w:rPr>
      </w:pPr>
    </w:p>
    <w:p w:rsidR="007D5F9A" w:rsidRDefault="007D5F9A" w:rsidP="00E027F3">
      <w:pPr>
        <w:pStyle w:val="NoSpacing"/>
        <w:numPr>
          <w:ilvl w:val="0"/>
          <w:numId w:val="2"/>
        </w:numPr>
        <w:jc w:val="both"/>
        <w:rPr>
          <w:rFonts w:eastAsia="Calibri"/>
          <w:bCs/>
        </w:rPr>
      </w:pPr>
      <w:r w:rsidRPr="007D5F9A">
        <w:rPr>
          <w:rFonts w:eastAsia="Calibri"/>
          <w:b/>
          <w:sz w:val="24"/>
          <w:szCs w:val="24"/>
          <w:lang w:bidi="fa-IR"/>
        </w:rPr>
        <w:t>Audit and inspection of insurance companies:</w:t>
      </w:r>
      <w:r>
        <w:rPr>
          <w:rFonts w:eastAsia="Calibri"/>
          <w:sz w:val="24"/>
          <w:szCs w:val="24"/>
          <w:lang w:bidi="fa-IR"/>
        </w:rPr>
        <w:t xml:space="preserve"> The GDIA regularly carries out the a</w:t>
      </w:r>
      <w:r w:rsidR="00B00F4D" w:rsidRPr="007D5F9A">
        <w:rPr>
          <w:rFonts w:eastAsia="Calibri"/>
          <w:sz w:val="24"/>
          <w:szCs w:val="24"/>
          <w:lang w:bidi="fa-IR"/>
        </w:rPr>
        <w:t xml:space="preserve">udited </w:t>
      </w:r>
      <w:r>
        <w:rPr>
          <w:rFonts w:eastAsia="Calibri"/>
          <w:sz w:val="24"/>
          <w:szCs w:val="24"/>
          <w:lang w:bidi="fa-IR"/>
        </w:rPr>
        <w:t xml:space="preserve">and onsite inspections of </w:t>
      </w:r>
      <w:r w:rsidR="00B00F4D" w:rsidRPr="007D5F9A">
        <w:rPr>
          <w:rFonts w:eastAsia="Calibri"/>
          <w:sz w:val="24"/>
          <w:szCs w:val="24"/>
          <w:lang w:bidi="fa-IR"/>
        </w:rPr>
        <w:t xml:space="preserve">the insurance </w:t>
      </w:r>
      <w:r>
        <w:rPr>
          <w:rFonts w:eastAsia="Calibri"/>
          <w:sz w:val="24"/>
          <w:szCs w:val="24"/>
          <w:lang w:bidi="fa-IR"/>
        </w:rPr>
        <w:t>companies</w:t>
      </w:r>
      <w:r w:rsidR="00B00F4D" w:rsidRPr="007D5F9A">
        <w:rPr>
          <w:rFonts w:eastAsia="Calibri"/>
          <w:sz w:val="24"/>
          <w:szCs w:val="24"/>
          <w:lang w:bidi="fa-IR"/>
        </w:rPr>
        <w:t>.</w:t>
      </w:r>
    </w:p>
    <w:p w:rsidR="007D5F9A" w:rsidRDefault="007D5F9A" w:rsidP="007D5F9A">
      <w:pPr>
        <w:pStyle w:val="ListParagraph"/>
        <w:rPr>
          <w:rFonts w:eastAsia="Calibri"/>
          <w:lang w:bidi="fa-IR"/>
        </w:rPr>
      </w:pPr>
    </w:p>
    <w:p w:rsidR="00916555" w:rsidRPr="00916555" w:rsidRDefault="007D5F9A" w:rsidP="00581AA8">
      <w:pPr>
        <w:pStyle w:val="NoSpacing"/>
        <w:numPr>
          <w:ilvl w:val="0"/>
          <w:numId w:val="2"/>
        </w:numPr>
        <w:jc w:val="both"/>
        <w:rPr>
          <w:rFonts w:eastAsia="Calibri"/>
          <w:bCs/>
        </w:rPr>
      </w:pPr>
      <w:r w:rsidRPr="00916555">
        <w:rPr>
          <w:rFonts w:eastAsia="Calibri"/>
          <w:b/>
          <w:sz w:val="24"/>
          <w:szCs w:val="24"/>
          <w:lang w:bidi="fa-IR"/>
        </w:rPr>
        <w:t>License issuance and renewals</w:t>
      </w:r>
      <w:r w:rsidR="00916555" w:rsidRPr="00916555">
        <w:rPr>
          <w:rFonts w:eastAsia="Calibri"/>
          <w:b/>
          <w:sz w:val="24"/>
          <w:szCs w:val="24"/>
          <w:lang w:bidi="fa-IR"/>
        </w:rPr>
        <w:t>:</w:t>
      </w:r>
      <w:r>
        <w:rPr>
          <w:rFonts w:eastAsia="Calibri"/>
          <w:sz w:val="24"/>
          <w:szCs w:val="24"/>
          <w:lang w:bidi="fa-IR"/>
        </w:rPr>
        <w:t xml:space="preserve"> </w:t>
      </w:r>
      <w:r w:rsidR="00916555">
        <w:rPr>
          <w:rFonts w:eastAsia="Calibri"/>
          <w:sz w:val="24"/>
          <w:szCs w:val="24"/>
          <w:lang w:bidi="fa-IR"/>
        </w:rPr>
        <w:t>Throughout the year, the existing licenses of insurance entities are renewed, while occasionally new licenses are also issued by GDIA after the completion of all legal requirements.</w:t>
      </w:r>
      <w:r w:rsidR="00581AA8">
        <w:rPr>
          <w:rFonts w:eastAsia="Calibri"/>
          <w:sz w:val="24"/>
          <w:szCs w:val="24"/>
          <w:lang w:bidi="fa-IR"/>
        </w:rPr>
        <w:t xml:space="preserve"> Licenses for two new entrants have been issued (M/s Sadra Insurance Co. &amp; M/s Capital Star Insurance Co.)</w:t>
      </w:r>
    </w:p>
    <w:p w:rsidR="00916555" w:rsidRDefault="00916555" w:rsidP="00916555">
      <w:pPr>
        <w:pStyle w:val="ListParagraph"/>
        <w:rPr>
          <w:rFonts w:eastAsia="Calibri"/>
          <w:lang w:bidi="fa-IR"/>
        </w:rPr>
      </w:pPr>
    </w:p>
    <w:p w:rsidR="00916555" w:rsidRDefault="00916555" w:rsidP="00E027F3">
      <w:pPr>
        <w:pStyle w:val="NoSpacing"/>
        <w:numPr>
          <w:ilvl w:val="0"/>
          <w:numId w:val="2"/>
        </w:numPr>
        <w:jc w:val="both"/>
        <w:rPr>
          <w:rFonts w:eastAsia="Calibri"/>
          <w:lang w:bidi="fa-IR"/>
        </w:rPr>
      </w:pPr>
      <w:r w:rsidRPr="00916555">
        <w:rPr>
          <w:rFonts w:eastAsia="Calibri"/>
          <w:b/>
          <w:sz w:val="24"/>
          <w:szCs w:val="24"/>
          <w:lang w:bidi="fa-IR"/>
        </w:rPr>
        <w:t>Development of quarterly and annual reporting:</w:t>
      </w:r>
      <w:r w:rsidRPr="00916555">
        <w:rPr>
          <w:rFonts w:eastAsia="Calibri"/>
          <w:sz w:val="24"/>
          <w:szCs w:val="24"/>
          <w:lang w:bidi="fa-IR"/>
        </w:rPr>
        <w:t xml:space="preserve"> The ongoing supervision activities result in </w:t>
      </w:r>
      <w:r w:rsidR="00B00F4D" w:rsidRPr="00916555">
        <w:rPr>
          <w:rFonts w:eastAsia="Calibri"/>
          <w:sz w:val="24"/>
          <w:szCs w:val="24"/>
          <w:lang w:bidi="fa-IR"/>
        </w:rPr>
        <w:t xml:space="preserve">the </w:t>
      </w:r>
      <w:r w:rsidRPr="00916555">
        <w:rPr>
          <w:rFonts w:eastAsia="Calibri"/>
          <w:sz w:val="24"/>
          <w:szCs w:val="24"/>
          <w:lang w:bidi="fa-IR"/>
        </w:rPr>
        <w:t xml:space="preserve">preparation and compilation of </w:t>
      </w:r>
      <w:r w:rsidR="00B00F4D" w:rsidRPr="00916555">
        <w:rPr>
          <w:rFonts w:eastAsia="Calibri"/>
          <w:sz w:val="24"/>
          <w:szCs w:val="24"/>
          <w:lang w:bidi="fa-IR"/>
        </w:rPr>
        <w:t xml:space="preserve">quarterly and annually </w:t>
      </w:r>
      <w:r w:rsidRPr="00916555">
        <w:rPr>
          <w:rFonts w:eastAsia="Calibri"/>
          <w:sz w:val="24"/>
          <w:szCs w:val="24"/>
          <w:lang w:bidi="fa-IR"/>
        </w:rPr>
        <w:t xml:space="preserve">supervisory </w:t>
      </w:r>
      <w:r w:rsidR="00B00F4D" w:rsidRPr="00916555">
        <w:rPr>
          <w:rFonts w:eastAsia="Calibri"/>
          <w:sz w:val="24"/>
          <w:szCs w:val="24"/>
          <w:lang w:bidi="fa-IR"/>
        </w:rPr>
        <w:t>report</w:t>
      </w:r>
      <w:r w:rsidRPr="00916555">
        <w:rPr>
          <w:rFonts w:eastAsia="Calibri"/>
          <w:sz w:val="24"/>
          <w:szCs w:val="24"/>
          <w:lang w:bidi="fa-IR"/>
        </w:rPr>
        <w:t xml:space="preserve">s. </w:t>
      </w:r>
    </w:p>
    <w:p w:rsidR="00916555" w:rsidRDefault="00916555" w:rsidP="00916555">
      <w:pPr>
        <w:pStyle w:val="ListParagraph"/>
        <w:rPr>
          <w:rFonts w:eastAsia="Calibri"/>
          <w:b/>
          <w:bCs/>
        </w:rPr>
      </w:pPr>
    </w:p>
    <w:p w:rsidR="00BA4295" w:rsidRDefault="00B00F4D" w:rsidP="00E027F3">
      <w:pPr>
        <w:pStyle w:val="NoSpacing"/>
        <w:numPr>
          <w:ilvl w:val="0"/>
          <w:numId w:val="2"/>
        </w:numPr>
        <w:jc w:val="both"/>
        <w:rPr>
          <w:rFonts w:eastAsia="Calibri"/>
          <w:lang w:bidi="fa-IR"/>
        </w:rPr>
      </w:pPr>
      <w:r w:rsidRPr="00916555">
        <w:rPr>
          <w:rFonts w:eastAsia="Calibri"/>
          <w:b/>
          <w:bCs/>
          <w:sz w:val="24"/>
          <w:szCs w:val="24"/>
        </w:rPr>
        <w:t xml:space="preserve">Capacity building of </w:t>
      </w:r>
      <w:r w:rsidR="00916555" w:rsidRPr="00916555">
        <w:rPr>
          <w:rFonts w:eastAsia="Calibri"/>
          <w:b/>
          <w:bCs/>
          <w:sz w:val="24"/>
          <w:szCs w:val="24"/>
        </w:rPr>
        <w:t xml:space="preserve">supervisory </w:t>
      </w:r>
      <w:r w:rsidRPr="00916555">
        <w:rPr>
          <w:rFonts w:eastAsia="Calibri"/>
          <w:b/>
          <w:bCs/>
          <w:sz w:val="24"/>
          <w:szCs w:val="24"/>
        </w:rPr>
        <w:t>staff</w:t>
      </w:r>
      <w:r w:rsidR="00916555" w:rsidRPr="00916555">
        <w:rPr>
          <w:rFonts w:eastAsia="Calibri"/>
          <w:b/>
          <w:bCs/>
          <w:sz w:val="24"/>
          <w:szCs w:val="24"/>
        </w:rPr>
        <w:t xml:space="preserve">: </w:t>
      </w:r>
      <w:r w:rsidR="00916555">
        <w:rPr>
          <w:rFonts w:eastAsia="Calibri"/>
          <w:bCs/>
          <w:sz w:val="24"/>
          <w:szCs w:val="24"/>
        </w:rPr>
        <w:t xml:space="preserve">Various training and capacity building measures have been taken throughout the year.  These include the training of the regulatory and supervisory staff in the areas of </w:t>
      </w:r>
      <w:r w:rsidRPr="00916555">
        <w:rPr>
          <w:rFonts w:eastAsia="Calibri"/>
          <w:sz w:val="24"/>
          <w:szCs w:val="24"/>
          <w:lang w:bidi="fa-IR"/>
        </w:rPr>
        <w:t>offsite</w:t>
      </w:r>
      <w:r w:rsidR="00916555">
        <w:rPr>
          <w:rFonts w:eastAsia="Calibri"/>
          <w:sz w:val="24"/>
          <w:szCs w:val="24"/>
          <w:lang w:bidi="fa-IR"/>
        </w:rPr>
        <w:t xml:space="preserve"> financial analysis and examination of insurance </w:t>
      </w:r>
      <w:r w:rsidR="00916555">
        <w:rPr>
          <w:rFonts w:eastAsia="Calibri"/>
          <w:sz w:val="24"/>
          <w:szCs w:val="24"/>
          <w:lang w:bidi="fa-IR"/>
        </w:rPr>
        <w:lastRenderedPageBreak/>
        <w:t xml:space="preserve">companies, the onsite inspections, </w:t>
      </w:r>
      <w:r w:rsidR="00BA4295">
        <w:rPr>
          <w:rFonts w:eastAsia="Calibri"/>
          <w:sz w:val="24"/>
          <w:szCs w:val="24"/>
          <w:lang w:bidi="fa-IR"/>
        </w:rPr>
        <w:t xml:space="preserve">implementing insurance Solvency regime, </w:t>
      </w:r>
      <w:r w:rsidR="00916555">
        <w:rPr>
          <w:rFonts w:eastAsia="Calibri"/>
          <w:sz w:val="24"/>
          <w:szCs w:val="24"/>
          <w:lang w:bidi="fa-IR"/>
        </w:rPr>
        <w:t xml:space="preserve">the </w:t>
      </w:r>
      <w:r w:rsidRPr="00916555">
        <w:rPr>
          <w:rFonts w:eastAsia="Calibri"/>
          <w:sz w:val="24"/>
          <w:szCs w:val="24"/>
          <w:lang w:bidi="fa-IR"/>
        </w:rPr>
        <w:t>Takaful</w:t>
      </w:r>
      <w:r w:rsidR="00916555">
        <w:rPr>
          <w:rFonts w:eastAsia="Calibri"/>
          <w:sz w:val="24"/>
          <w:szCs w:val="24"/>
          <w:lang w:bidi="fa-IR"/>
        </w:rPr>
        <w:t>, among other topics</w:t>
      </w:r>
      <w:r w:rsidRPr="00916555">
        <w:rPr>
          <w:rFonts w:eastAsia="Calibri"/>
          <w:sz w:val="24"/>
          <w:szCs w:val="24"/>
          <w:lang w:bidi="fa-IR"/>
        </w:rPr>
        <w:t>.</w:t>
      </w:r>
      <w:r w:rsidR="00BA4295">
        <w:rPr>
          <w:rFonts w:eastAsia="Calibri"/>
          <w:lang w:bidi="fa-IR"/>
        </w:rPr>
        <w:t xml:space="preserve">  Some of these training were carried out inside Afghanistan, while other were conducted overseas in places, such as UAE and Turkey.</w:t>
      </w:r>
    </w:p>
    <w:p w:rsidR="00BA4295" w:rsidRDefault="00BA4295" w:rsidP="00BA4295">
      <w:pPr>
        <w:pStyle w:val="ListParagraph"/>
        <w:rPr>
          <w:rFonts w:eastAsia="Calibri"/>
          <w:b/>
          <w:bCs/>
        </w:rPr>
      </w:pPr>
    </w:p>
    <w:p w:rsidR="00BA4295" w:rsidRDefault="00BA4295" w:rsidP="00E027F3">
      <w:pPr>
        <w:pStyle w:val="NoSpacing"/>
        <w:numPr>
          <w:ilvl w:val="0"/>
          <w:numId w:val="2"/>
        </w:numPr>
        <w:jc w:val="both"/>
        <w:rPr>
          <w:rFonts w:eastAsia="Calibri"/>
          <w:lang w:bidi="fa-IR"/>
        </w:rPr>
      </w:pPr>
      <w:r w:rsidRPr="00BA4295">
        <w:rPr>
          <w:rFonts w:eastAsia="Calibri"/>
          <w:b/>
          <w:bCs/>
          <w:sz w:val="24"/>
          <w:szCs w:val="24"/>
        </w:rPr>
        <w:t xml:space="preserve">Creating insurance education and </w:t>
      </w:r>
      <w:r w:rsidR="00B00F4D" w:rsidRPr="00BA4295">
        <w:rPr>
          <w:rFonts w:eastAsia="Calibri"/>
          <w:b/>
          <w:bCs/>
          <w:sz w:val="24"/>
          <w:szCs w:val="24"/>
        </w:rPr>
        <w:t>awareness</w:t>
      </w:r>
      <w:r w:rsidRPr="00BA4295">
        <w:rPr>
          <w:rFonts w:eastAsia="Calibri"/>
          <w:b/>
          <w:bCs/>
          <w:sz w:val="24"/>
          <w:szCs w:val="24"/>
        </w:rPr>
        <w:t>:</w:t>
      </w:r>
      <w:r w:rsidRPr="00BA4295">
        <w:rPr>
          <w:rFonts w:eastAsia="Calibri"/>
          <w:bCs/>
          <w:sz w:val="24"/>
          <w:szCs w:val="24"/>
        </w:rPr>
        <w:t xml:space="preserve"> The </w:t>
      </w:r>
      <w:r w:rsidR="00B00F4D" w:rsidRPr="00BA4295">
        <w:rPr>
          <w:rFonts w:eastAsia="Calibri"/>
          <w:sz w:val="24"/>
          <w:szCs w:val="24"/>
          <w:lang w:bidi="fa-IR"/>
        </w:rPr>
        <w:t xml:space="preserve">GDIA </w:t>
      </w:r>
      <w:r>
        <w:rPr>
          <w:rFonts w:eastAsia="Calibri"/>
          <w:sz w:val="24"/>
          <w:szCs w:val="24"/>
          <w:lang w:bidi="fa-IR"/>
        </w:rPr>
        <w:t xml:space="preserve">also carried out at least four </w:t>
      </w:r>
      <w:r w:rsidR="00B00F4D" w:rsidRPr="00BA4295">
        <w:rPr>
          <w:rFonts w:eastAsia="Calibri"/>
          <w:sz w:val="24"/>
          <w:szCs w:val="24"/>
          <w:lang w:bidi="fa-IR"/>
        </w:rPr>
        <w:t xml:space="preserve">public </w:t>
      </w:r>
      <w:r>
        <w:rPr>
          <w:rFonts w:eastAsia="Calibri"/>
          <w:sz w:val="24"/>
          <w:szCs w:val="24"/>
          <w:lang w:bidi="fa-IR"/>
        </w:rPr>
        <w:t xml:space="preserve">education and </w:t>
      </w:r>
      <w:r w:rsidR="00B00F4D" w:rsidRPr="00BA4295">
        <w:rPr>
          <w:rFonts w:eastAsia="Calibri"/>
          <w:sz w:val="24"/>
          <w:szCs w:val="24"/>
          <w:lang w:bidi="fa-IR"/>
        </w:rPr>
        <w:t>awareness workshop</w:t>
      </w:r>
      <w:r>
        <w:rPr>
          <w:rFonts w:eastAsia="Calibri"/>
          <w:sz w:val="24"/>
          <w:szCs w:val="24"/>
          <w:lang w:bidi="fa-IR"/>
        </w:rPr>
        <w:t>s</w:t>
      </w:r>
      <w:r w:rsidR="00B00F4D" w:rsidRPr="00BA4295">
        <w:rPr>
          <w:rFonts w:eastAsia="Calibri"/>
          <w:sz w:val="24"/>
          <w:szCs w:val="24"/>
          <w:lang w:bidi="fa-IR"/>
        </w:rPr>
        <w:t xml:space="preserve"> at </w:t>
      </w:r>
      <w:r>
        <w:rPr>
          <w:rFonts w:eastAsia="Calibri"/>
          <w:sz w:val="24"/>
          <w:szCs w:val="24"/>
          <w:lang w:bidi="fa-IR"/>
        </w:rPr>
        <w:t xml:space="preserve">the </w:t>
      </w:r>
      <w:r w:rsidR="00B00F4D" w:rsidRPr="00BA4295">
        <w:rPr>
          <w:rFonts w:eastAsia="Calibri"/>
          <w:sz w:val="24"/>
          <w:szCs w:val="24"/>
          <w:lang w:bidi="fa-IR"/>
        </w:rPr>
        <w:t xml:space="preserve">Central bank, </w:t>
      </w:r>
      <w:r>
        <w:rPr>
          <w:rFonts w:eastAsia="Calibri"/>
          <w:sz w:val="24"/>
          <w:szCs w:val="24"/>
          <w:lang w:bidi="fa-IR"/>
        </w:rPr>
        <w:t xml:space="preserve">the </w:t>
      </w:r>
      <w:r w:rsidR="00B00F4D" w:rsidRPr="00BA4295">
        <w:rPr>
          <w:rFonts w:eastAsia="Calibri"/>
          <w:sz w:val="24"/>
          <w:szCs w:val="24"/>
          <w:lang w:bidi="fa-IR"/>
        </w:rPr>
        <w:t xml:space="preserve">Kabul municipality, </w:t>
      </w:r>
      <w:r>
        <w:rPr>
          <w:rFonts w:eastAsia="Calibri"/>
          <w:sz w:val="24"/>
          <w:szCs w:val="24"/>
          <w:lang w:bidi="fa-IR"/>
        </w:rPr>
        <w:t>the Ministry of Mines and P</w:t>
      </w:r>
      <w:r w:rsidR="00B00F4D" w:rsidRPr="00BA4295">
        <w:rPr>
          <w:rFonts w:eastAsia="Calibri"/>
          <w:sz w:val="24"/>
          <w:szCs w:val="24"/>
          <w:lang w:bidi="fa-IR"/>
        </w:rPr>
        <w:t>etroleum</w:t>
      </w:r>
      <w:r>
        <w:rPr>
          <w:rFonts w:eastAsia="Calibri"/>
          <w:sz w:val="24"/>
          <w:szCs w:val="24"/>
          <w:lang w:bidi="fa-IR"/>
        </w:rPr>
        <w:t>,</w:t>
      </w:r>
      <w:r w:rsidR="00B00F4D" w:rsidRPr="00BA4295">
        <w:rPr>
          <w:rFonts w:eastAsia="Calibri"/>
          <w:sz w:val="24"/>
          <w:szCs w:val="24"/>
          <w:lang w:bidi="fa-IR"/>
        </w:rPr>
        <w:t xml:space="preserve"> and </w:t>
      </w:r>
      <w:r>
        <w:rPr>
          <w:rFonts w:eastAsia="Calibri"/>
          <w:sz w:val="24"/>
          <w:szCs w:val="24"/>
          <w:lang w:bidi="fa-IR"/>
        </w:rPr>
        <w:t>the M</w:t>
      </w:r>
      <w:r w:rsidR="00B00F4D" w:rsidRPr="00BA4295">
        <w:rPr>
          <w:rFonts w:eastAsia="Calibri"/>
          <w:sz w:val="24"/>
          <w:szCs w:val="24"/>
          <w:lang w:bidi="fa-IR"/>
        </w:rPr>
        <w:t>inistry of Transport.</w:t>
      </w:r>
    </w:p>
    <w:p w:rsidR="00BA4295" w:rsidRDefault="00BA4295" w:rsidP="00BA4295">
      <w:pPr>
        <w:pStyle w:val="ListParagraph"/>
        <w:rPr>
          <w:rFonts w:eastAsia="Calibri"/>
          <w:lang w:bidi="fa-IR"/>
        </w:rPr>
      </w:pPr>
    </w:p>
    <w:p w:rsidR="00BA4295" w:rsidRDefault="00BA4295" w:rsidP="00E027F3">
      <w:pPr>
        <w:pStyle w:val="NoSpacing"/>
        <w:numPr>
          <w:ilvl w:val="0"/>
          <w:numId w:val="2"/>
        </w:numPr>
        <w:jc w:val="both"/>
        <w:rPr>
          <w:rFonts w:eastAsia="Calibri"/>
          <w:lang w:bidi="fa-IR"/>
        </w:rPr>
      </w:pPr>
      <w:r w:rsidRPr="00BA4295">
        <w:rPr>
          <w:rFonts w:eastAsia="Calibri"/>
          <w:b/>
          <w:sz w:val="24"/>
          <w:szCs w:val="24"/>
          <w:lang w:bidi="fa-IR"/>
        </w:rPr>
        <w:t xml:space="preserve">Development of </w:t>
      </w:r>
      <w:r w:rsidR="00B00F4D" w:rsidRPr="00BA4295">
        <w:rPr>
          <w:rFonts w:eastAsia="Calibri"/>
          <w:b/>
          <w:sz w:val="24"/>
          <w:szCs w:val="24"/>
          <w:lang w:bidi="fa-IR"/>
        </w:rPr>
        <w:t>GDIA</w:t>
      </w:r>
      <w:r w:rsidRPr="00BA4295">
        <w:rPr>
          <w:rFonts w:eastAsia="Calibri"/>
          <w:b/>
          <w:sz w:val="24"/>
          <w:szCs w:val="24"/>
          <w:lang w:bidi="fa-IR"/>
        </w:rPr>
        <w:t>’s</w:t>
      </w:r>
      <w:r w:rsidR="00B00F4D" w:rsidRPr="00BA4295">
        <w:rPr>
          <w:rFonts w:eastAsia="Calibri"/>
          <w:b/>
          <w:sz w:val="24"/>
          <w:szCs w:val="24"/>
          <w:lang w:bidi="fa-IR"/>
        </w:rPr>
        <w:t xml:space="preserve"> file, brochures and logo</w:t>
      </w:r>
      <w:r w:rsidRPr="00BA4295">
        <w:rPr>
          <w:rFonts w:eastAsia="Calibri"/>
          <w:b/>
          <w:sz w:val="24"/>
          <w:szCs w:val="24"/>
          <w:lang w:bidi="fa-IR"/>
        </w:rPr>
        <w:t>:</w:t>
      </w:r>
      <w:r>
        <w:rPr>
          <w:rFonts w:eastAsia="Calibri"/>
          <w:sz w:val="24"/>
          <w:szCs w:val="24"/>
          <w:lang w:bidi="fa-IR"/>
        </w:rPr>
        <w:t xml:space="preserve">  New designs of GDIA’s files, brochures, and logo have been prepared, which are now </w:t>
      </w:r>
      <w:r w:rsidR="00B00F4D" w:rsidRPr="00BA4295">
        <w:rPr>
          <w:rFonts w:eastAsia="Calibri"/>
          <w:sz w:val="24"/>
          <w:szCs w:val="24"/>
          <w:lang w:bidi="fa-IR"/>
        </w:rPr>
        <w:t>at the bidding stage in the procurement department</w:t>
      </w:r>
      <w:r>
        <w:rPr>
          <w:rFonts w:eastAsia="Calibri"/>
          <w:sz w:val="24"/>
          <w:szCs w:val="24"/>
          <w:lang w:bidi="fa-IR"/>
        </w:rPr>
        <w:t>.  Once finalized, these will be available shortly.</w:t>
      </w:r>
    </w:p>
    <w:p w:rsidR="00BA4295" w:rsidRDefault="00BA4295" w:rsidP="00BA4295">
      <w:pPr>
        <w:pStyle w:val="ListParagraph"/>
        <w:rPr>
          <w:rFonts w:eastAsia="Calibri"/>
          <w:lang w:bidi="fa-IR"/>
        </w:rPr>
      </w:pPr>
    </w:p>
    <w:p w:rsidR="00160AEB" w:rsidRDefault="00BA4295" w:rsidP="00E027F3">
      <w:pPr>
        <w:pStyle w:val="NoSpacing"/>
        <w:numPr>
          <w:ilvl w:val="0"/>
          <w:numId w:val="2"/>
        </w:numPr>
        <w:jc w:val="both"/>
        <w:rPr>
          <w:rFonts w:eastAsia="Calibri"/>
          <w:lang w:bidi="fa-IR"/>
        </w:rPr>
      </w:pPr>
      <w:r w:rsidRPr="00160AEB">
        <w:rPr>
          <w:rFonts w:eastAsia="Calibri"/>
          <w:b/>
          <w:sz w:val="24"/>
          <w:szCs w:val="24"/>
          <w:lang w:bidi="fa-IR"/>
        </w:rPr>
        <w:t>D</w:t>
      </w:r>
      <w:r w:rsidR="00B00F4D" w:rsidRPr="00160AEB">
        <w:rPr>
          <w:rFonts w:eastAsia="Calibri"/>
          <w:b/>
          <w:sz w:val="24"/>
          <w:szCs w:val="24"/>
          <w:lang w:bidi="fa-IR"/>
        </w:rPr>
        <w:t xml:space="preserve">ocumentary videos clip </w:t>
      </w:r>
      <w:r w:rsidRPr="00160AEB">
        <w:rPr>
          <w:rFonts w:eastAsia="Calibri"/>
          <w:b/>
          <w:sz w:val="24"/>
          <w:szCs w:val="24"/>
          <w:lang w:bidi="fa-IR"/>
        </w:rPr>
        <w:t>for creating insurance awareness:</w:t>
      </w:r>
      <w:r>
        <w:rPr>
          <w:rFonts w:eastAsia="Calibri"/>
          <w:sz w:val="24"/>
          <w:szCs w:val="24"/>
          <w:lang w:bidi="fa-IR"/>
        </w:rPr>
        <w:t xml:space="preserve"> GDIA is in the process of preparing the d</w:t>
      </w:r>
      <w:r w:rsidRPr="00BA4295">
        <w:rPr>
          <w:rFonts w:eastAsia="Calibri"/>
          <w:sz w:val="24"/>
          <w:szCs w:val="24"/>
          <w:lang w:bidi="fa-IR"/>
        </w:rPr>
        <w:t>ocumentary videos clip</w:t>
      </w:r>
      <w:r>
        <w:rPr>
          <w:rFonts w:eastAsia="Calibri"/>
          <w:sz w:val="24"/>
          <w:szCs w:val="24"/>
          <w:lang w:bidi="fa-IR"/>
        </w:rPr>
        <w:t>s</w:t>
      </w:r>
      <w:r w:rsidRPr="00BA4295">
        <w:rPr>
          <w:rFonts w:eastAsia="Calibri"/>
          <w:sz w:val="24"/>
          <w:szCs w:val="24"/>
          <w:lang w:bidi="fa-IR"/>
        </w:rPr>
        <w:t xml:space="preserve"> </w:t>
      </w:r>
      <w:r>
        <w:rPr>
          <w:rFonts w:eastAsia="Calibri"/>
          <w:sz w:val="24"/>
          <w:szCs w:val="24"/>
          <w:lang w:bidi="fa-IR"/>
        </w:rPr>
        <w:t>for creating insurance awareness in the country.  These will be prepared in the local language, with content which will be</w:t>
      </w:r>
      <w:r w:rsidR="00160AEB">
        <w:rPr>
          <w:rFonts w:eastAsia="Calibri"/>
          <w:sz w:val="24"/>
          <w:szCs w:val="24"/>
          <w:lang w:bidi="fa-IR"/>
        </w:rPr>
        <w:t xml:space="preserve"> aimed at people with low literacy levels.  It is expected that such documentary video clips will help in creating more awareness about insurance products in the country.</w:t>
      </w:r>
    </w:p>
    <w:p w:rsidR="00160AEB" w:rsidRDefault="00160AEB" w:rsidP="00160AEB">
      <w:pPr>
        <w:pStyle w:val="ListParagraph"/>
        <w:rPr>
          <w:rFonts w:eastAsia="Calibri"/>
          <w:lang w:bidi="fa-IR"/>
        </w:rPr>
      </w:pPr>
    </w:p>
    <w:p w:rsidR="00C85561" w:rsidRDefault="00B00F4D" w:rsidP="00E027F3">
      <w:pPr>
        <w:pStyle w:val="NoSpacing"/>
        <w:numPr>
          <w:ilvl w:val="0"/>
          <w:numId w:val="2"/>
        </w:numPr>
        <w:jc w:val="both"/>
        <w:rPr>
          <w:rFonts w:eastAsia="Calibri"/>
          <w:lang w:bidi="fa-IR"/>
        </w:rPr>
      </w:pPr>
      <w:r w:rsidRPr="00C85561">
        <w:rPr>
          <w:rFonts w:eastAsia="Calibri"/>
          <w:b/>
          <w:sz w:val="24"/>
          <w:szCs w:val="24"/>
          <w:lang w:bidi="fa-IR"/>
        </w:rPr>
        <w:t>Insurance billboard</w:t>
      </w:r>
      <w:r w:rsidR="00C85561" w:rsidRPr="00C85561">
        <w:rPr>
          <w:rFonts w:eastAsia="Calibri"/>
          <w:b/>
          <w:sz w:val="24"/>
          <w:szCs w:val="24"/>
          <w:lang w:bidi="fa-IR"/>
        </w:rPr>
        <w:t>s:</w:t>
      </w:r>
      <w:r w:rsidRPr="00160AEB">
        <w:rPr>
          <w:rFonts w:eastAsia="Calibri"/>
          <w:sz w:val="24"/>
          <w:szCs w:val="24"/>
          <w:lang w:bidi="fa-IR"/>
        </w:rPr>
        <w:t xml:space="preserve"> </w:t>
      </w:r>
      <w:r w:rsidR="00C85561">
        <w:rPr>
          <w:rFonts w:eastAsia="Calibri"/>
          <w:sz w:val="24"/>
          <w:szCs w:val="24"/>
          <w:lang w:bidi="fa-IR"/>
        </w:rPr>
        <w:t xml:space="preserve">Insurance signage and billboards have been </w:t>
      </w:r>
      <w:r w:rsidRPr="00160AEB">
        <w:rPr>
          <w:rFonts w:eastAsia="Calibri"/>
          <w:sz w:val="24"/>
          <w:szCs w:val="24"/>
          <w:lang w:bidi="fa-IR"/>
        </w:rPr>
        <w:t>set up in Kabul and four other provinces</w:t>
      </w:r>
      <w:r w:rsidR="00C85561">
        <w:rPr>
          <w:rFonts w:eastAsia="Calibri"/>
          <w:sz w:val="24"/>
          <w:szCs w:val="24"/>
          <w:lang w:bidi="fa-IR"/>
        </w:rPr>
        <w:t xml:space="preserve">, with an objective of creating </w:t>
      </w:r>
      <w:r w:rsidRPr="00160AEB">
        <w:rPr>
          <w:rFonts w:eastAsia="Calibri"/>
          <w:sz w:val="24"/>
          <w:szCs w:val="24"/>
          <w:lang w:bidi="fa-IR"/>
        </w:rPr>
        <w:t>public awareness</w:t>
      </w:r>
      <w:r w:rsidR="00C85561">
        <w:rPr>
          <w:rFonts w:eastAsia="Calibri"/>
          <w:sz w:val="24"/>
          <w:szCs w:val="24"/>
          <w:lang w:bidi="fa-IR"/>
        </w:rPr>
        <w:t xml:space="preserve"> about insurance services.</w:t>
      </w:r>
    </w:p>
    <w:p w:rsidR="00C85561" w:rsidRDefault="00C85561" w:rsidP="00C85561">
      <w:pPr>
        <w:pStyle w:val="ListParagraph"/>
        <w:rPr>
          <w:rFonts w:eastAsia="Calibri"/>
          <w:b/>
          <w:bCs/>
        </w:rPr>
      </w:pPr>
    </w:p>
    <w:p w:rsidR="00B00F4D" w:rsidRPr="00C85561" w:rsidRDefault="00B00F4D" w:rsidP="00E027F3">
      <w:pPr>
        <w:pStyle w:val="NoSpacing"/>
        <w:numPr>
          <w:ilvl w:val="0"/>
          <w:numId w:val="2"/>
        </w:numPr>
        <w:jc w:val="both"/>
        <w:rPr>
          <w:rFonts w:eastAsia="Calibri"/>
          <w:lang w:bidi="fa-IR"/>
        </w:rPr>
      </w:pPr>
      <w:r w:rsidRPr="00C85561">
        <w:rPr>
          <w:rFonts w:eastAsia="Calibri"/>
          <w:b/>
          <w:bCs/>
          <w:sz w:val="24"/>
          <w:szCs w:val="24"/>
        </w:rPr>
        <w:t xml:space="preserve">Other important </w:t>
      </w:r>
      <w:r w:rsidR="00C85561" w:rsidRPr="00C85561">
        <w:rPr>
          <w:rFonts w:eastAsia="Calibri"/>
          <w:b/>
          <w:bCs/>
          <w:sz w:val="24"/>
          <w:szCs w:val="24"/>
        </w:rPr>
        <w:t>measures</w:t>
      </w:r>
      <w:r w:rsidRPr="00C85561">
        <w:rPr>
          <w:rFonts w:eastAsia="Calibri"/>
          <w:b/>
          <w:bCs/>
          <w:sz w:val="24"/>
          <w:szCs w:val="24"/>
        </w:rPr>
        <w:t>:</w:t>
      </w:r>
      <w:r w:rsidR="00C85561" w:rsidRPr="00C85561">
        <w:rPr>
          <w:rFonts w:eastAsia="Calibri"/>
          <w:b/>
          <w:bCs/>
          <w:sz w:val="24"/>
          <w:szCs w:val="24"/>
        </w:rPr>
        <w:t xml:space="preserve"> </w:t>
      </w:r>
      <w:r w:rsidR="00C85561" w:rsidRPr="00C85561">
        <w:rPr>
          <w:rFonts w:eastAsia="Calibri"/>
          <w:bCs/>
          <w:sz w:val="24"/>
          <w:szCs w:val="24"/>
        </w:rPr>
        <w:t>Various other important measures have also been taken or are in the due process.  These include u</w:t>
      </w:r>
      <w:r w:rsidRPr="00C85561">
        <w:rPr>
          <w:rFonts w:eastAsia="Calibri"/>
          <w:sz w:val="24"/>
          <w:szCs w:val="24"/>
          <w:lang w:bidi="fa-IR"/>
        </w:rPr>
        <w:t>pdating the GDIA</w:t>
      </w:r>
      <w:r w:rsidR="00C85561" w:rsidRPr="00C85561">
        <w:rPr>
          <w:rFonts w:eastAsia="Calibri"/>
          <w:sz w:val="24"/>
          <w:szCs w:val="24"/>
          <w:lang w:bidi="fa-IR"/>
        </w:rPr>
        <w:t>’s</w:t>
      </w:r>
      <w:r w:rsidRPr="00C85561">
        <w:rPr>
          <w:rFonts w:eastAsia="Calibri"/>
          <w:sz w:val="24"/>
          <w:szCs w:val="24"/>
          <w:lang w:bidi="fa-IR"/>
        </w:rPr>
        <w:t xml:space="preserve"> five year rolling plan on Afghanistan performance Mana</w:t>
      </w:r>
      <w:r w:rsidR="00C85561" w:rsidRPr="00C85561">
        <w:rPr>
          <w:rFonts w:eastAsia="Calibri"/>
          <w:sz w:val="24"/>
          <w:szCs w:val="24"/>
          <w:lang w:bidi="fa-IR"/>
        </w:rPr>
        <w:t>gement information system APMIS, the d</w:t>
      </w:r>
      <w:r w:rsidRPr="00C85561">
        <w:rPr>
          <w:rFonts w:eastAsia="Calibri"/>
          <w:sz w:val="24"/>
          <w:szCs w:val="24"/>
          <w:lang w:bidi="fa-IR"/>
        </w:rPr>
        <w:t xml:space="preserve">rafting </w:t>
      </w:r>
      <w:r w:rsidR="00C85561" w:rsidRPr="00C85561">
        <w:rPr>
          <w:rFonts w:eastAsia="Calibri"/>
          <w:sz w:val="24"/>
          <w:szCs w:val="24"/>
          <w:lang w:bidi="fa-IR"/>
        </w:rPr>
        <w:t xml:space="preserve">of </w:t>
      </w:r>
      <w:r w:rsidRPr="00C85561">
        <w:rPr>
          <w:rFonts w:eastAsia="Calibri"/>
          <w:sz w:val="24"/>
          <w:szCs w:val="24"/>
          <w:lang w:bidi="fa-IR"/>
        </w:rPr>
        <w:t>the National Risk assessment report including insurance sector</w:t>
      </w:r>
      <w:r w:rsidR="00C85561" w:rsidRPr="00C85561">
        <w:rPr>
          <w:rFonts w:eastAsia="Calibri"/>
          <w:sz w:val="24"/>
          <w:szCs w:val="24"/>
          <w:lang w:bidi="fa-IR"/>
        </w:rPr>
        <w:t xml:space="preserve">, and </w:t>
      </w:r>
      <w:r w:rsidR="00C85561">
        <w:rPr>
          <w:rFonts w:eastAsia="Calibri"/>
          <w:sz w:val="24"/>
          <w:szCs w:val="24"/>
          <w:lang w:bidi="fa-IR"/>
        </w:rPr>
        <w:t>d</w:t>
      </w:r>
      <w:r w:rsidRPr="00C85561">
        <w:rPr>
          <w:rFonts w:eastAsia="Calibri"/>
          <w:sz w:val="24"/>
          <w:szCs w:val="24"/>
          <w:lang w:bidi="fa-IR"/>
        </w:rPr>
        <w:t>evelop</w:t>
      </w:r>
      <w:r w:rsidR="00C85561">
        <w:rPr>
          <w:rFonts w:eastAsia="Calibri"/>
          <w:sz w:val="24"/>
          <w:szCs w:val="24"/>
          <w:lang w:bidi="fa-IR"/>
        </w:rPr>
        <w:t xml:space="preserve">ment </w:t>
      </w:r>
      <w:r w:rsidRPr="00C85561">
        <w:rPr>
          <w:rFonts w:eastAsia="Calibri"/>
          <w:sz w:val="24"/>
          <w:szCs w:val="24"/>
          <w:lang w:bidi="fa-IR"/>
        </w:rPr>
        <w:t>and implement</w:t>
      </w:r>
      <w:r w:rsidR="00C85561">
        <w:rPr>
          <w:rFonts w:eastAsia="Calibri"/>
          <w:sz w:val="24"/>
          <w:szCs w:val="24"/>
          <w:lang w:bidi="fa-IR"/>
        </w:rPr>
        <w:t xml:space="preserve">ation of the </w:t>
      </w:r>
      <w:r w:rsidRPr="00C85561">
        <w:rPr>
          <w:rFonts w:eastAsia="Calibri"/>
          <w:sz w:val="24"/>
          <w:szCs w:val="24"/>
          <w:lang w:bidi="fa-IR"/>
        </w:rPr>
        <w:t>insurance database for recording the key financial data.</w:t>
      </w:r>
    </w:p>
    <w:p w:rsidR="007F6C59" w:rsidRDefault="007F6C59" w:rsidP="007A33FF">
      <w:pPr>
        <w:pStyle w:val="NoSpacing"/>
        <w:jc w:val="both"/>
        <w:rPr>
          <w:b/>
          <w:bCs/>
        </w:rPr>
      </w:pPr>
    </w:p>
    <w:p w:rsidR="00AE0E4D" w:rsidRDefault="00AE0E4D" w:rsidP="007A33FF">
      <w:pPr>
        <w:pStyle w:val="NoSpacing"/>
        <w:jc w:val="both"/>
        <w:rPr>
          <w:b/>
          <w:bCs/>
        </w:rPr>
      </w:pPr>
    </w:p>
    <w:p w:rsidR="005E4CDF" w:rsidRDefault="005E4CDF" w:rsidP="00F61B4E">
      <w:pPr>
        <w:spacing w:line="360" w:lineRule="auto"/>
        <w:jc w:val="both"/>
        <w:rPr>
          <w:rFonts w:asciiTheme="minorHAnsi" w:eastAsiaTheme="minorHAnsi" w:hAnsiTheme="minorHAnsi" w:cstheme="minorBidi"/>
          <w:szCs w:val="22"/>
          <w:lang w:val="en-US" w:eastAsia="en-US"/>
        </w:rPr>
      </w:pPr>
    </w:p>
    <w:p w:rsidR="00BA049D" w:rsidRDefault="00BA049D" w:rsidP="00F61B4E">
      <w:pPr>
        <w:spacing w:line="360" w:lineRule="auto"/>
        <w:jc w:val="both"/>
        <w:rPr>
          <w:rFonts w:asciiTheme="minorHAnsi" w:eastAsiaTheme="minorHAnsi" w:hAnsiTheme="minorHAnsi" w:cstheme="minorBidi"/>
          <w:szCs w:val="22"/>
          <w:lang w:val="en-US" w:eastAsia="en-US"/>
        </w:rPr>
      </w:pPr>
    </w:p>
    <w:p w:rsidR="00BA049D" w:rsidRDefault="00BA049D" w:rsidP="00F61B4E">
      <w:pPr>
        <w:spacing w:line="360" w:lineRule="auto"/>
        <w:jc w:val="both"/>
        <w:rPr>
          <w:rFonts w:asciiTheme="minorHAnsi" w:eastAsiaTheme="minorHAnsi" w:hAnsiTheme="minorHAnsi" w:cstheme="minorBidi"/>
          <w:szCs w:val="22"/>
          <w:lang w:val="en-US" w:eastAsia="en-US"/>
        </w:rPr>
      </w:pPr>
    </w:p>
    <w:p w:rsidR="00BA049D" w:rsidRDefault="00BA049D" w:rsidP="00F61B4E">
      <w:pPr>
        <w:spacing w:line="360" w:lineRule="auto"/>
        <w:jc w:val="both"/>
        <w:rPr>
          <w:rFonts w:asciiTheme="minorHAnsi" w:eastAsiaTheme="minorHAnsi" w:hAnsiTheme="minorHAnsi" w:cstheme="minorBidi"/>
          <w:szCs w:val="22"/>
          <w:lang w:val="en-US" w:eastAsia="en-US"/>
        </w:rPr>
      </w:pPr>
    </w:p>
    <w:p w:rsidR="00BA049D" w:rsidRDefault="00BA049D" w:rsidP="00F61B4E">
      <w:pPr>
        <w:spacing w:line="360" w:lineRule="auto"/>
        <w:jc w:val="both"/>
        <w:rPr>
          <w:rFonts w:asciiTheme="minorHAnsi" w:eastAsiaTheme="minorHAnsi" w:hAnsiTheme="minorHAnsi" w:cstheme="minorBidi"/>
          <w:szCs w:val="22"/>
          <w:lang w:val="en-US" w:eastAsia="en-US"/>
        </w:rPr>
      </w:pPr>
    </w:p>
    <w:p w:rsidR="00BA049D" w:rsidRDefault="00BA049D" w:rsidP="00F61B4E">
      <w:pPr>
        <w:spacing w:line="360" w:lineRule="auto"/>
        <w:jc w:val="both"/>
        <w:rPr>
          <w:rFonts w:asciiTheme="minorHAnsi" w:eastAsiaTheme="minorHAnsi" w:hAnsiTheme="minorHAnsi" w:cstheme="minorBidi"/>
          <w:szCs w:val="22"/>
          <w:lang w:val="en-US" w:eastAsia="en-US"/>
        </w:rPr>
      </w:pPr>
    </w:p>
    <w:p w:rsidR="00BA049D" w:rsidRDefault="00BA049D" w:rsidP="00F61B4E">
      <w:pPr>
        <w:spacing w:line="360" w:lineRule="auto"/>
        <w:jc w:val="both"/>
        <w:rPr>
          <w:rFonts w:asciiTheme="minorHAnsi" w:eastAsiaTheme="minorHAnsi" w:hAnsiTheme="minorHAnsi" w:cstheme="minorBidi"/>
          <w:szCs w:val="22"/>
          <w:lang w:val="en-US" w:eastAsia="en-US"/>
        </w:rPr>
      </w:pPr>
    </w:p>
    <w:p w:rsidR="00BA049D" w:rsidRDefault="00BA049D" w:rsidP="00F61B4E">
      <w:pPr>
        <w:spacing w:line="360" w:lineRule="auto"/>
        <w:jc w:val="both"/>
        <w:rPr>
          <w:rFonts w:asciiTheme="minorHAnsi" w:eastAsiaTheme="minorHAnsi" w:hAnsiTheme="minorHAnsi" w:cstheme="minorBidi"/>
          <w:szCs w:val="22"/>
          <w:lang w:val="en-US" w:eastAsia="en-US"/>
        </w:rPr>
      </w:pPr>
    </w:p>
    <w:p w:rsidR="00BA049D" w:rsidRDefault="00BA049D" w:rsidP="00F61B4E">
      <w:pPr>
        <w:spacing w:line="360" w:lineRule="auto"/>
        <w:jc w:val="both"/>
        <w:rPr>
          <w:rFonts w:asciiTheme="minorHAnsi" w:eastAsiaTheme="minorHAnsi" w:hAnsiTheme="minorHAnsi" w:cstheme="minorBidi"/>
          <w:szCs w:val="22"/>
          <w:lang w:val="en-US" w:eastAsia="en-US"/>
        </w:rPr>
      </w:pPr>
    </w:p>
    <w:p w:rsidR="00BA049D" w:rsidRDefault="00BA049D" w:rsidP="00F61B4E">
      <w:pPr>
        <w:spacing w:line="360" w:lineRule="auto"/>
        <w:jc w:val="both"/>
        <w:rPr>
          <w:rFonts w:asciiTheme="minorHAnsi" w:eastAsiaTheme="minorHAnsi" w:hAnsiTheme="minorHAnsi" w:cstheme="minorBidi"/>
          <w:szCs w:val="22"/>
          <w:lang w:val="en-US" w:eastAsia="en-US"/>
        </w:rPr>
      </w:pPr>
    </w:p>
    <w:p w:rsidR="00BA049D" w:rsidRDefault="00BA049D" w:rsidP="00F61B4E">
      <w:pPr>
        <w:spacing w:line="360" w:lineRule="auto"/>
        <w:jc w:val="both"/>
        <w:rPr>
          <w:rFonts w:asciiTheme="minorHAnsi" w:eastAsiaTheme="minorHAnsi" w:hAnsiTheme="minorHAnsi" w:cstheme="minorBidi"/>
          <w:szCs w:val="22"/>
          <w:lang w:val="en-US" w:eastAsia="en-US"/>
        </w:rPr>
      </w:pPr>
    </w:p>
    <w:p w:rsidR="00BC1595" w:rsidRDefault="00BC1595" w:rsidP="00BC1595">
      <w:pPr>
        <w:pStyle w:val="Heading1"/>
        <w:rPr>
          <w:sz w:val="24"/>
        </w:rPr>
      </w:pPr>
      <w:bookmarkStart w:id="30" w:name="_Toc43808723"/>
      <w:r>
        <w:rPr>
          <w:rFonts w:eastAsia="Calibri"/>
        </w:rPr>
        <w:lastRenderedPageBreak/>
        <w:t>Section 5: Achievements and Donor support</w:t>
      </w:r>
      <w:bookmarkEnd w:id="30"/>
      <w:r w:rsidRPr="00BC1595">
        <w:rPr>
          <w:sz w:val="24"/>
        </w:rPr>
        <w:t xml:space="preserve"> </w:t>
      </w:r>
    </w:p>
    <w:p w:rsidR="00BC1595" w:rsidRDefault="00BC1595" w:rsidP="00BC1595">
      <w:pPr>
        <w:pStyle w:val="NoSpacing"/>
        <w:jc w:val="both"/>
        <w:rPr>
          <w:sz w:val="24"/>
        </w:rPr>
      </w:pPr>
    </w:p>
    <w:p w:rsidR="00BC1595" w:rsidRDefault="00BC1595" w:rsidP="00BA049D">
      <w:pPr>
        <w:pStyle w:val="NoSpacing"/>
        <w:jc w:val="both"/>
        <w:rPr>
          <w:sz w:val="24"/>
        </w:rPr>
      </w:pPr>
      <w:r w:rsidRPr="00BC1595">
        <w:rPr>
          <w:sz w:val="24"/>
        </w:rPr>
        <w:t xml:space="preserve">The GDIA </w:t>
      </w:r>
      <w:r w:rsidR="00C20BA4">
        <w:rPr>
          <w:sz w:val="24"/>
        </w:rPr>
        <w:t xml:space="preserve">remains </w:t>
      </w:r>
      <w:r w:rsidRPr="00BC1595">
        <w:rPr>
          <w:sz w:val="24"/>
        </w:rPr>
        <w:t>committed to achiev</w:t>
      </w:r>
      <w:r w:rsidR="00C20BA4">
        <w:rPr>
          <w:sz w:val="24"/>
        </w:rPr>
        <w:t xml:space="preserve">ing the </w:t>
      </w:r>
      <w:r w:rsidRPr="00BC1595">
        <w:rPr>
          <w:sz w:val="24"/>
        </w:rPr>
        <w:t xml:space="preserve">secure economic and social environment in the country with the help of sound insurance industry, aiming to provide access to suitable and affordable insurance products to the people of country and to achieve these strategic goals and objectives. </w:t>
      </w:r>
      <w:r w:rsidR="00C20BA4">
        <w:rPr>
          <w:sz w:val="24"/>
        </w:rPr>
        <w:t xml:space="preserve">Under the guidance of the </w:t>
      </w:r>
      <w:r w:rsidRPr="00BC1595">
        <w:rPr>
          <w:sz w:val="24"/>
        </w:rPr>
        <w:t>Ministry of Finance</w:t>
      </w:r>
      <w:r w:rsidR="00C20BA4">
        <w:rPr>
          <w:sz w:val="24"/>
        </w:rPr>
        <w:t>, GDIA</w:t>
      </w:r>
      <w:r w:rsidRPr="00BC1595">
        <w:rPr>
          <w:sz w:val="24"/>
        </w:rPr>
        <w:t xml:space="preserve"> has been able to </w:t>
      </w:r>
      <w:r w:rsidR="00C20BA4">
        <w:rPr>
          <w:sz w:val="24"/>
        </w:rPr>
        <w:t xml:space="preserve">receive </w:t>
      </w:r>
      <w:r w:rsidRPr="00BC1595">
        <w:rPr>
          <w:sz w:val="24"/>
        </w:rPr>
        <w:t xml:space="preserve">cooperation from </w:t>
      </w:r>
      <w:r w:rsidR="00C20BA4">
        <w:rPr>
          <w:sz w:val="24"/>
        </w:rPr>
        <w:t xml:space="preserve">the </w:t>
      </w:r>
      <w:r w:rsidRPr="00BC1595">
        <w:rPr>
          <w:sz w:val="24"/>
        </w:rPr>
        <w:t>international institutions</w:t>
      </w:r>
      <w:r w:rsidR="00C20BA4">
        <w:rPr>
          <w:sz w:val="24"/>
        </w:rPr>
        <w:t>,</w:t>
      </w:r>
      <w:r w:rsidR="00BA049D">
        <w:rPr>
          <w:sz w:val="24"/>
        </w:rPr>
        <w:t xml:space="preserve"> such as the World Bank and</w:t>
      </w:r>
      <w:r w:rsidRPr="00BC1595">
        <w:rPr>
          <w:sz w:val="24"/>
        </w:rPr>
        <w:t xml:space="preserve"> the Islamic Development Bank</w:t>
      </w:r>
      <w:r w:rsidR="00C20BA4">
        <w:rPr>
          <w:sz w:val="24"/>
        </w:rPr>
        <w:t xml:space="preserve"> (IDB</w:t>
      </w:r>
      <w:r w:rsidR="00BA049D">
        <w:rPr>
          <w:sz w:val="24"/>
        </w:rPr>
        <w:t>).</w:t>
      </w:r>
      <w:r w:rsidRPr="00BC1595">
        <w:rPr>
          <w:sz w:val="24"/>
        </w:rPr>
        <w:t xml:space="preserve"> </w:t>
      </w:r>
    </w:p>
    <w:p w:rsidR="005743F3" w:rsidRDefault="005743F3" w:rsidP="00BC1595">
      <w:pPr>
        <w:pStyle w:val="NoSpacing"/>
        <w:jc w:val="both"/>
        <w:rPr>
          <w:sz w:val="24"/>
        </w:rPr>
      </w:pPr>
    </w:p>
    <w:p w:rsidR="005743F3" w:rsidRPr="00BC1595" w:rsidRDefault="005743F3" w:rsidP="00BC1595">
      <w:pPr>
        <w:pStyle w:val="NoSpacing"/>
        <w:jc w:val="both"/>
        <w:rPr>
          <w:sz w:val="24"/>
        </w:rPr>
      </w:pPr>
    </w:p>
    <w:p w:rsidR="00BA049D" w:rsidRDefault="00BA049D" w:rsidP="00BC1595">
      <w:pPr>
        <w:pStyle w:val="NoSpacing"/>
        <w:jc w:val="both"/>
        <w:rPr>
          <w:sz w:val="24"/>
        </w:rPr>
      </w:pPr>
    </w:p>
    <w:p w:rsidR="00BA049D" w:rsidRDefault="00BA049D" w:rsidP="00BC1595">
      <w:pPr>
        <w:pStyle w:val="NoSpacing"/>
        <w:jc w:val="both"/>
        <w:rPr>
          <w:sz w:val="24"/>
        </w:rPr>
      </w:pPr>
    </w:p>
    <w:p w:rsidR="00BC1595" w:rsidRDefault="00783404" w:rsidP="00BC1595">
      <w:pPr>
        <w:pStyle w:val="NoSpacing"/>
        <w:jc w:val="both"/>
        <w:rPr>
          <w:sz w:val="24"/>
        </w:rPr>
      </w:pPr>
      <w:r>
        <w:rPr>
          <w:noProof/>
        </w:rPr>
        <w:drawing>
          <wp:anchor distT="0" distB="0" distL="114300" distR="114300" simplePos="0" relativeHeight="251667968" behindDoc="0" locked="0" layoutInCell="1" allowOverlap="1" wp14:anchorId="7ABFF174" wp14:editId="2FF6DA4C">
            <wp:simplePos x="0" y="0"/>
            <wp:positionH relativeFrom="margin">
              <wp:posOffset>3495040</wp:posOffset>
            </wp:positionH>
            <wp:positionV relativeFrom="paragraph">
              <wp:posOffset>116840</wp:posOffset>
            </wp:positionV>
            <wp:extent cx="2447925" cy="65722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79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7F20" w:rsidRPr="00BC1595" w:rsidRDefault="00817F20" w:rsidP="00BC1595">
      <w:pPr>
        <w:pStyle w:val="NoSpacing"/>
        <w:jc w:val="both"/>
        <w:rPr>
          <w:sz w:val="24"/>
        </w:rPr>
      </w:pPr>
    </w:p>
    <w:p w:rsidR="00BC1595" w:rsidRPr="00BC1595" w:rsidRDefault="00817F20" w:rsidP="00817F20">
      <w:pPr>
        <w:pStyle w:val="Heading2"/>
      </w:pPr>
      <w:bookmarkStart w:id="31" w:name="_Toc43808724"/>
      <w:r>
        <w:t>5.1</w:t>
      </w:r>
      <w:r>
        <w:tab/>
        <w:t xml:space="preserve">Support from the </w:t>
      </w:r>
      <w:r w:rsidR="00BC1595" w:rsidRPr="00BC1595">
        <w:t>World Bank Group</w:t>
      </w:r>
      <w:bookmarkEnd w:id="31"/>
      <w:r w:rsidR="00BC1595" w:rsidRPr="00BC1595">
        <w:t xml:space="preserve">                                                    </w:t>
      </w:r>
    </w:p>
    <w:p w:rsidR="00817F20" w:rsidRDefault="00817F20" w:rsidP="00BC1595">
      <w:pPr>
        <w:pStyle w:val="NoSpacing"/>
        <w:jc w:val="both"/>
        <w:rPr>
          <w:sz w:val="24"/>
        </w:rPr>
      </w:pPr>
    </w:p>
    <w:p w:rsidR="00BC1595" w:rsidRDefault="00BC1595" w:rsidP="00BC1595">
      <w:pPr>
        <w:pStyle w:val="NoSpacing"/>
        <w:jc w:val="both"/>
        <w:rPr>
          <w:sz w:val="24"/>
        </w:rPr>
      </w:pPr>
      <w:r w:rsidRPr="00BC1595">
        <w:rPr>
          <w:sz w:val="24"/>
        </w:rPr>
        <w:t xml:space="preserve">The World Bank Group </w:t>
      </w:r>
      <w:r w:rsidR="007C0D44">
        <w:rPr>
          <w:sz w:val="24"/>
        </w:rPr>
        <w:t xml:space="preserve">has been </w:t>
      </w:r>
      <w:r w:rsidRPr="00BC1595">
        <w:rPr>
          <w:sz w:val="24"/>
        </w:rPr>
        <w:t xml:space="preserve">supporting the Ministry of Finance under the project Fiscal Support Program (FSP). </w:t>
      </w:r>
      <w:r w:rsidR="007C0D44">
        <w:rPr>
          <w:sz w:val="24"/>
        </w:rPr>
        <w:t xml:space="preserve"> Under this program, t</w:t>
      </w:r>
      <w:r w:rsidRPr="00BC1595">
        <w:rPr>
          <w:sz w:val="24"/>
        </w:rPr>
        <w:t xml:space="preserve">he GDIA </w:t>
      </w:r>
      <w:r w:rsidR="007C0D44">
        <w:rPr>
          <w:sz w:val="24"/>
        </w:rPr>
        <w:t xml:space="preserve">was also provided </w:t>
      </w:r>
      <w:r w:rsidRPr="00BC1595">
        <w:rPr>
          <w:sz w:val="24"/>
        </w:rPr>
        <w:t xml:space="preserve">support in terms of developmental budget </w:t>
      </w:r>
      <w:r w:rsidR="007C0D44">
        <w:rPr>
          <w:sz w:val="24"/>
        </w:rPr>
        <w:t xml:space="preserve">and </w:t>
      </w:r>
      <w:r w:rsidRPr="00BC1595">
        <w:rPr>
          <w:sz w:val="24"/>
        </w:rPr>
        <w:t xml:space="preserve">to achieve its strategic objectives. </w:t>
      </w:r>
    </w:p>
    <w:p w:rsidR="005743F3" w:rsidRDefault="005743F3" w:rsidP="00BC1595">
      <w:pPr>
        <w:pStyle w:val="NoSpacing"/>
        <w:jc w:val="both"/>
        <w:rPr>
          <w:sz w:val="24"/>
        </w:rPr>
      </w:pPr>
    </w:p>
    <w:p w:rsidR="005743F3" w:rsidRPr="00BC1595" w:rsidRDefault="005743F3" w:rsidP="00BC1595">
      <w:pPr>
        <w:pStyle w:val="NoSpacing"/>
        <w:jc w:val="both"/>
        <w:rPr>
          <w:sz w:val="24"/>
        </w:rPr>
      </w:pPr>
    </w:p>
    <w:p w:rsidR="00817F20" w:rsidRDefault="00783404" w:rsidP="00BC1595">
      <w:pPr>
        <w:pStyle w:val="NoSpacing"/>
        <w:jc w:val="both"/>
        <w:rPr>
          <w:sz w:val="24"/>
        </w:rPr>
      </w:pPr>
      <w:r>
        <w:rPr>
          <w:noProof/>
        </w:rPr>
        <w:drawing>
          <wp:anchor distT="0" distB="0" distL="114300" distR="114300" simplePos="0" relativeHeight="251668992" behindDoc="0" locked="0" layoutInCell="1" allowOverlap="1" wp14:anchorId="3BE15EFF" wp14:editId="6F9F3A5B">
            <wp:simplePos x="0" y="0"/>
            <wp:positionH relativeFrom="margin">
              <wp:align>right</wp:align>
            </wp:positionH>
            <wp:positionV relativeFrom="paragraph">
              <wp:posOffset>182880</wp:posOffset>
            </wp:positionV>
            <wp:extent cx="2333625" cy="58102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36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7F20" w:rsidRDefault="00817F20" w:rsidP="00BC1595">
      <w:pPr>
        <w:pStyle w:val="NoSpacing"/>
        <w:jc w:val="both"/>
        <w:rPr>
          <w:sz w:val="24"/>
        </w:rPr>
      </w:pPr>
    </w:p>
    <w:p w:rsidR="00BC1595" w:rsidRDefault="00817F20" w:rsidP="00817F20">
      <w:pPr>
        <w:pStyle w:val="Heading2"/>
      </w:pPr>
      <w:bookmarkStart w:id="32" w:name="_Toc43808725"/>
      <w:r>
        <w:t>5.2</w:t>
      </w:r>
      <w:r>
        <w:tab/>
        <w:t xml:space="preserve">Support from the </w:t>
      </w:r>
      <w:r w:rsidR="00BC1595" w:rsidRPr="00BC1595">
        <w:t>Islamic Development Bank</w:t>
      </w:r>
      <w:bookmarkEnd w:id="32"/>
      <w:r w:rsidR="00BC1595" w:rsidRPr="00BC1595">
        <w:t xml:space="preserve">                                          </w:t>
      </w:r>
    </w:p>
    <w:p w:rsidR="00817F20" w:rsidRPr="00BC1595" w:rsidRDefault="00817F20" w:rsidP="00BC1595">
      <w:pPr>
        <w:pStyle w:val="NoSpacing"/>
        <w:jc w:val="both"/>
        <w:rPr>
          <w:sz w:val="24"/>
        </w:rPr>
      </w:pPr>
    </w:p>
    <w:p w:rsidR="00820E71" w:rsidRDefault="00820E71" w:rsidP="00BC1595">
      <w:pPr>
        <w:pStyle w:val="NoSpacing"/>
        <w:jc w:val="both"/>
        <w:rPr>
          <w:sz w:val="24"/>
        </w:rPr>
      </w:pPr>
    </w:p>
    <w:p w:rsidR="00BC1595" w:rsidRPr="00BC1595" w:rsidRDefault="007C0D44" w:rsidP="00BC1595">
      <w:pPr>
        <w:pStyle w:val="NoSpacing"/>
        <w:jc w:val="both"/>
        <w:rPr>
          <w:sz w:val="24"/>
        </w:rPr>
      </w:pPr>
      <w:r>
        <w:rPr>
          <w:sz w:val="24"/>
        </w:rPr>
        <w:t xml:space="preserve">To develop the </w:t>
      </w:r>
      <w:r w:rsidR="00BC1595" w:rsidRPr="00BC1595">
        <w:rPr>
          <w:sz w:val="24"/>
        </w:rPr>
        <w:t xml:space="preserve">Takaful law and regulatory framework </w:t>
      </w:r>
      <w:r>
        <w:rPr>
          <w:sz w:val="24"/>
        </w:rPr>
        <w:t xml:space="preserve">and to support the development of Islamic </w:t>
      </w:r>
      <w:r w:rsidR="00BC1595" w:rsidRPr="00BC1595">
        <w:rPr>
          <w:sz w:val="24"/>
        </w:rPr>
        <w:t>insurance market</w:t>
      </w:r>
      <w:r>
        <w:rPr>
          <w:sz w:val="24"/>
        </w:rPr>
        <w:t xml:space="preserve"> in the country, </w:t>
      </w:r>
      <w:r w:rsidR="00BC1595" w:rsidRPr="00BC1595">
        <w:rPr>
          <w:sz w:val="24"/>
        </w:rPr>
        <w:t xml:space="preserve">the government of Afghanistan </w:t>
      </w:r>
      <w:r>
        <w:rPr>
          <w:sz w:val="24"/>
        </w:rPr>
        <w:t>has been provided support by the Islamic Development Bank (</w:t>
      </w:r>
      <w:r w:rsidR="00BC1595" w:rsidRPr="00BC1595">
        <w:rPr>
          <w:sz w:val="24"/>
        </w:rPr>
        <w:t>IDB</w:t>
      </w:r>
      <w:r>
        <w:rPr>
          <w:sz w:val="24"/>
        </w:rPr>
        <w:t xml:space="preserve">).  This support by IDB resulted in the </w:t>
      </w:r>
      <w:r w:rsidR="00BC1595" w:rsidRPr="00BC1595">
        <w:rPr>
          <w:sz w:val="24"/>
        </w:rPr>
        <w:t>development of legal and regulatory framework of Takaful.</w:t>
      </w:r>
      <w:r>
        <w:rPr>
          <w:sz w:val="24"/>
        </w:rPr>
        <w:t xml:space="preserve">  Currently, the draft law is under </w:t>
      </w:r>
      <w:r w:rsidR="00BC1595" w:rsidRPr="00BC1595">
        <w:rPr>
          <w:sz w:val="24"/>
        </w:rPr>
        <w:t xml:space="preserve">process at the Ministry of Justice. </w:t>
      </w:r>
    </w:p>
    <w:p w:rsidR="00817F20" w:rsidRDefault="00817F20" w:rsidP="00BC1595">
      <w:pPr>
        <w:pStyle w:val="NoSpacing"/>
        <w:jc w:val="both"/>
        <w:rPr>
          <w:sz w:val="24"/>
        </w:rPr>
      </w:pPr>
    </w:p>
    <w:p w:rsidR="005743F3" w:rsidRDefault="005743F3" w:rsidP="00BC1595">
      <w:pPr>
        <w:pStyle w:val="NoSpacing"/>
        <w:jc w:val="both"/>
        <w:rPr>
          <w:sz w:val="24"/>
        </w:rPr>
      </w:pPr>
    </w:p>
    <w:p w:rsidR="00817F20" w:rsidRDefault="00817F20" w:rsidP="00BC1595">
      <w:pPr>
        <w:pStyle w:val="NoSpacing"/>
        <w:jc w:val="both"/>
        <w:rPr>
          <w:noProof/>
        </w:rPr>
      </w:pPr>
    </w:p>
    <w:p w:rsidR="00BA049D" w:rsidRDefault="00BA049D" w:rsidP="00BC1595">
      <w:pPr>
        <w:pStyle w:val="NoSpacing"/>
        <w:jc w:val="both"/>
        <w:rPr>
          <w:noProof/>
        </w:rPr>
      </w:pPr>
    </w:p>
    <w:p w:rsidR="00BA049D" w:rsidRDefault="00BA049D" w:rsidP="00BC1595">
      <w:pPr>
        <w:pStyle w:val="NoSpacing"/>
        <w:jc w:val="both"/>
        <w:rPr>
          <w:noProof/>
        </w:rPr>
      </w:pPr>
    </w:p>
    <w:p w:rsidR="00BA049D" w:rsidRDefault="00BA049D" w:rsidP="00BC1595">
      <w:pPr>
        <w:pStyle w:val="NoSpacing"/>
        <w:jc w:val="both"/>
        <w:rPr>
          <w:noProof/>
        </w:rPr>
      </w:pPr>
    </w:p>
    <w:p w:rsidR="00BA049D" w:rsidRDefault="00BA049D" w:rsidP="00BC1595">
      <w:pPr>
        <w:pStyle w:val="NoSpacing"/>
        <w:jc w:val="both"/>
        <w:rPr>
          <w:noProof/>
        </w:rPr>
      </w:pPr>
    </w:p>
    <w:p w:rsidR="00BA049D" w:rsidRDefault="00BA049D" w:rsidP="00BC1595">
      <w:pPr>
        <w:pStyle w:val="NoSpacing"/>
        <w:jc w:val="both"/>
        <w:rPr>
          <w:noProof/>
        </w:rPr>
      </w:pPr>
    </w:p>
    <w:p w:rsidR="00BA049D" w:rsidRDefault="00BA049D" w:rsidP="00BC1595">
      <w:pPr>
        <w:pStyle w:val="NoSpacing"/>
        <w:jc w:val="both"/>
        <w:rPr>
          <w:noProof/>
        </w:rPr>
      </w:pPr>
    </w:p>
    <w:p w:rsidR="00BA049D" w:rsidRDefault="00BA049D" w:rsidP="00BC1595">
      <w:pPr>
        <w:pStyle w:val="NoSpacing"/>
        <w:jc w:val="both"/>
        <w:rPr>
          <w:noProof/>
        </w:rPr>
      </w:pPr>
    </w:p>
    <w:p w:rsidR="00BA049D" w:rsidRDefault="00BA049D" w:rsidP="00BC1595">
      <w:pPr>
        <w:pStyle w:val="NoSpacing"/>
        <w:jc w:val="both"/>
        <w:rPr>
          <w:sz w:val="24"/>
        </w:rPr>
      </w:pPr>
    </w:p>
    <w:p w:rsidR="002418D3" w:rsidRPr="00BC1595" w:rsidRDefault="002418D3" w:rsidP="00BC1595">
      <w:pPr>
        <w:pStyle w:val="NoSpacing"/>
        <w:jc w:val="both"/>
        <w:rPr>
          <w:sz w:val="24"/>
        </w:rPr>
      </w:pPr>
    </w:p>
    <w:p w:rsidR="007C0D44" w:rsidRDefault="007C0D44" w:rsidP="00BC1595">
      <w:pPr>
        <w:pStyle w:val="NoSpacing"/>
        <w:jc w:val="both"/>
        <w:rPr>
          <w:sz w:val="24"/>
        </w:rPr>
      </w:pPr>
      <w:bookmarkStart w:id="33" w:name="_Toc18231631"/>
    </w:p>
    <w:p w:rsidR="00BC1595" w:rsidRDefault="007C0D44" w:rsidP="007C0D44">
      <w:pPr>
        <w:pStyle w:val="Heading2"/>
      </w:pPr>
      <w:bookmarkStart w:id="34" w:name="_Toc43808727"/>
      <w:bookmarkEnd w:id="33"/>
      <w:r>
        <w:lastRenderedPageBreak/>
        <w:t>5.4</w:t>
      </w:r>
      <w:r>
        <w:tab/>
        <w:t>Achievements</w:t>
      </w:r>
      <w:bookmarkEnd w:id="34"/>
      <w:r>
        <w:t xml:space="preserve"> </w:t>
      </w:r>
    </w:p>
    <w:p w:rsidR="007C0D44" w:rsidRPr="00BC1595" w:rsidRDefault="007C0D44" w:rsidP="00BC1595">
      <w:pPr>
        <w:pStyle w:val="NoSpacing"/>
        <w:jc w:val="both"/>
        <w:rPr>
          <w:sz w:val="24"/>
        </w:rPr>
      </w:pPr>
    </w:p>
    <w:p w:rsidR="00654BE7" w:rsidRDefault="007C0D44" w:rsidP="00654BE7">
      <w:pPr>
        <w:pStyle w:val="NoSpacing"/>
        <w:jc w:val="both"/>
        <w:rPr>
          <w:sz w:val="24"/>
        </w:rPr>
      </w:pPr>
      <w:r>
        <w:rPr>
          <w:sz w:val="24"/>
        </w:rPr>
        <w:t xml:space="preserve">The </w:t>
      </w:r>
      <w:r w:rsidR="00BC1595" w:rsidRPr="00BC1595">
        <w:rPr>
          <w:sz w:val="24"/>
        </w:rPr>
        <w:t>2018 Performance Evaluation (1st Grade)</w:t>
      </w:r>
      <w:r>
        <w:rPr>
          <w:sz w:val="24"/>
        </w:rPr>
        <w:t xml:space="preserve"> was carried out by the </w:t>
      </w:r>
      <w:r w:rsidR="00BC1595" w:rsidRPr="00BC1595">
        <w:rPr>
          <w:sz w:val="24"/>
        </w:rPr>
        <w:t>World Bank</w:t>
      </w:r>
      <w:r w:rsidR="00654BE7">
        <w:rPr>
          <w:sz w:val="24"/>
        </w:rPr>
        <w:t xml:space="preserve">, which is one of the prominent development </w:t>
      </w:r>
      <w:r w:rsidR="00BC1595" w:rsidRPr="00BC1595">
        <w:rPr>
          <w:sz w:val="24"/>
        </w:rPr>
        <w:t>partner</w:t>
      </w:r>
      <w:r w:rsidR="00654BE7">
        <w:rPr>
          <w:sz w:val="24"/>
        </w:rPr>
        <w:t xml:space="preserve"> of the </w:t>
      </w:r>
      <w:r w:rsidR="00BC1595" w:rsidRPr="00BC1595">
        <w:rPr>
          <w:sz w:val="24"/>
        </w:rPr>
        <w:t>government of Afghanistan in terms of providing budget</w:t>
      </w:r>
      <w:r w:rsidR="00654BE7">
        <w:rPr>
          <w:sz w:val="24"/>
        </w:rPr>
        <w:t xml:space="preserve">ary support </w:t>
      </w:r>
      <w:r w:rsidR="00BC1595" w:rsidRPr="00BC1595">
        <w:rPr>
          <w:sz w:val="24"/>
        </w:rPr>
        <w:t xml:space="preserve">to line ministries under </w:t>
      </w:r>
      <w:r w:rsidR="00654BE7">
        <w:rPr>
          <w:sz w:val="24"/>
        </w:rPr>
        <w:t xml:space="preserve">its </w:t>
      </w:r>
      <w:r w:rsidR="00BC1595" w:rsidRPr="00BC1595">
        <w:rPr>
          <w:sz w:val="24"/>
        </w:rPr>
        <w:t>Fiscal Support Program (FSP)</w:t>
      </w:r>
      <w:r w:rsidR="00654BE7">
        <w:rPr>
          <w:sz w:val="24"/>
        </w:rPr>
        <w:t xml:space="preserve">.  </w:t>
      </w:r>
      <w:r w:rsidR="00BC1595" w:rsidRPr="00BC1595">
        <w:rPr>
          <w:sz w:val="24"/>
        </w:rPr>
        <w:t xml:space="preserve">Each year, teams under the FSP program would provide their respective plans. These plans are accordingly reviewed and assessed thoroughly by the </w:t>
      </w:r>
      <w:r w:rsidR="00654BE7">
        <w:rPr>
          <w:sz w:val="24"/>
        </w:rPr>
        <w:t xml:space="preserve">experts from the </w:t>
      </w:r>
      <w:r w:rsidR="00BC1595" w:rsidRPr="00BC1595">
        <w:rPr>
          <w:sz w:val="24"/>
        </w:rPr>
        <w:t xml:space="preserve">World Bank.  When the planned objectives are justified as to what extent, these would result in reforms, the next step is the approval allocation of budget. </w:t>
      </w:r>
      <w:r w:rsidR="00654BE7">
        <w:rPr>
          <w:sz w:val="24"/>
        </w:rPr>
        <w:t xml:space="preserve"> </w:t>
      </w:r>
      <w:r w:rsidR="00BC1595" w:rsidRPr="00BC1595">
        <w:rPr>
          <w:sz w:val="24"/>
        </w:rPr>
        <w:t>The annual performance of each department is then reviewed before close of the fiscal year by the validation team and activities are scored bas</w:t>
      </w:r>
      <w:r w:rsidR="00654BE7">
        <w:rPr>
          <w:sz w:val="24"/>
        </w:rPr>
        <w:t>ed on certain scoring criteria.  The Director General-</w:t>
      </w:r>
      <w:r w:rsidR="00BC1595" w:rsidRPr="00BC1595">
        <w:rPr>
          <w:sz w:val="24"/>
        </w:rPr>
        <w:t xml:space="preserve">level grading is done considering </w:t>
      </w:r>
      <w:r w:rsidR="00654BE7">
        <w:rPr>
          <w:sz w:val="24"/>
        </w:rPr>
        <w:t xml:space="preserve">the </w:t>
      </w:r>
      <w:r w:rsidR="00BC1595" w:rsidRPr="00BC1595">
        <w:rPr>
          <w:sz w:val="24"/>
        </w:rPr>
        <w:t xml:space="preserve">grades received by </w:t>
      </w:r>
      <w:r w:rsidR="00654BE7">
        <w:rPr>
          <w:sz w:val="24"/>
        </w:rPr>
        <w:t>the Directorates and Sub-</w:t>
      </w:r>
      <w:r w:rsidR="00BC1595" w:rsidRPr="00BC1595">
        <w:rPr>
          <w:sz w:val="24"/>
        </w:rPr>
        <w:t>directorates.</w:t>
      </w:r>
      <w:r w:rsidR="00654BE7">
        <w:rPr>
          <w:sz w:val="24"/>
        </w:rPr>
        <w:t xml:space="preserve">  </w:t>
      </w:r>
    </w:p>
    <w:p w:rsidR="00654BE7" w:rsidRDefault="00654BE7" w:rsidP="00654BE7">
      <w:pPr>
        <w:pStyle w:val="NoSpacing"/>
        <w:jc w:val="both"/>
        <w:rPr>
          <w:sz w:val="24"/>
        </w:rPr>
      </w:pPr>
    </w:p>
    <w:p w:rsidR="00BC1595" w:rsidRPr="00AA0060" w:rsidRDefault="00654BE7" w:rsidP="00AA0060">
      <w:pPr>
        <w:pStyle w:val="NoSpacing"/>
        <w:jc w:val="both"/>
        <w:rPr>
          <w:sz w:val="24"/>
        </w:rPr>
      </w:pPr>
      <w:r>
        <w:rPr>
          <w:sz w:val="24"/>
        </w:rPr>
        <w:t xml:space="preserve">The GDIA secured the </w:t>
      </w:r>
      <w:r w:rsidR="00BC1595" w:rsidRPr="00BC1595">
        <w:rPr>
          <w:sz w:val="24"/>
        </w:rPr>
        <w:t xml:space="preserve">top </w:t>
      </w:r>
      <w:r>
        <w:rPr>
          <w:sz w:val="24"/>
        </w:rPr>
        <w:t xml:space="preserve">position </w:t>
      </w:r>
      <w:r w:rsidR="00BC1595" w:rsidRPr="00BC1595">
        <w:rPr>
          <w:sz w:val="24"/>
        </w:rPr>
        <w:t>under all scenarios</w:t>
      </w:r>
      <w:r>
        <w:rPr>
          <w:sz w:val="24"/>
        </w:rPr>
        <w:t>,</w:t>
      </w:r>
      <w:r w:rsidR="00BC1595" w:rsidRPr="00BC1595">
        <w:rPr>
          <w:sz w:val="24"/>
        </w:rPr>
        <w:t xml:space="preserve"> scoring </w:t>
      </w:r>
      <w:r>
        <w:rPr>
          <w:sz w:val="24"/>
        </w:rPr>
        <w:t xml:space="preserve">a total of </w:t>
      </w:r>
      <w:r w:rsidR="00BC1595" w:rsidRPr="00BC1595">
        <w:rPr>
          <w:sz w:val="24"/>
        </w:rPr>
        <w:t xml:space="preserve">74 per cent reflecting an </w:t>
      </w:r>
      <w:r w:rsidR="00AA0060">
        <w:rPr>
          <w:sz w:val="24"/>
        </w:rPr>
        <w:t xml:space="preserve">outstanding </w:t>
      </w:r>
      <w:r w:rsidR="00BC1595" w:rsidRPr="00BC1595">
        <w:rPr>
          <w:sz w:val="24"/>
        </w:rPr>
        <w:t>performance in all dimensions.</w:t>
      </w:r>
    </w:p>
    <w:p w:rsidR="00AA0060" w:rsidRDefault="00AA0060">
      <w:pPr>
        <w:spacing w:after="160" w:line="259" w:lineRule="auto"/>
        <w:rPr>
          <w:rFonts w:asciiTheme="majorHAnsi" w:eastAsia="Calibri" w:hAnsiTheme="majorHAnsi" w:cstheme="majorBidi"/>
          <w:color w:val="365F91" w:themeColor="accent1" w:themeShade="BF"/>
          <w:sz w:val="32"/>
          <w:szCs w:val="32"/>
        </w:rPr>
      </w:pPr>
      <w:r>
        <w:rPr>
          <w:rFonts w:eastAsia="Calibri"/>
        </w:rPr>
        <w:br w:type="page"/>
      </w:r>
    </w:p>
    <w:p w:rsidR="00DF18A5" w:rsidRDefault="00AE0E4D" w:rsidP="00DF18A5">
      <w:pPr>
        <w:pStyle w:val="Heading1"/>
        <w:rPr>
          <w:rFonts w:eastAsia="Calibri"/>
        </w:rPr>
      </w:pPr>
      <w:bookmarkStart w:id="35" w:name="_Toc43808728"/>
      <w:r>
        <w:rPr>
          <w:rFonts w:eastAsia="Calibri"/>
        </w:rPr>
        <w:lastRenderedPageBreak/>
        <w:t xml:space="preserve">Section </w:t>
      </w:r>
      <w:r w:rsidR="00BC1595">
        <w:rPr>
          <w:rFonts w:eastAsia="Calibri"/>
        </w:rPr>
        <w:t>6</w:t>
      </w:r>
      <w:r w:rsidR="00DF18A5">
        <w:rPr>
          <w:rFonts w:eastAsia="Calibri"/>
        </w:rPr>
        <w:t>: Conclusion and Future Direction</w:t>
      </w:r>
      <w:bookmarkEnd w:id="35"/>
    </w:p>
    <w:p w:rsidR="00DF18A5" w:rsidRDefault="00DF18A5" w:rsidP="00DF18A5">
      <w:pPr>
        <w:pStyle w:val="NoSpacing"/>
      </w:pPr>
    </w:p>
    <w:p w:rsidR="00277748" w:rsidRPr="00A73CB0" w:rsidRDefault="00F12EE1" w:rsidP="0000578F">
      <w:pPr>
        <w:pStyle w:val="NoSpacing"/>
        <w:jc w:val="both"/>
        <w:rPr>
          <w:sz w:val="24"/>
        </w:rPr>
      </w:pPr>
      <w:r>
        <w:rPr>
          <w:sz w:val="24"/>
        </w:rPr>
        <w:t>Although the size of insurance industry is small in Afghanistan but it is showing signs of growth and development.  Also, t</w:t>
      </w:r>
      <w:r w:rsidR="00277748" w:rsidRPr="00A73CB0">
        <w:rPr>
          <w:sz w:val="24"/>
        </w:rPr>
        <w:t>here are certain priority areas where GDIA is considering to take initiatives, and which are</w:t>
      </w:r>
      <w:r w:rsidR="00277748">
        <w:rPr>
          <w:sz w:val="24"/>
        </w:rPr>
        <w:t xml:space="preserve"> also </w:t>
      </w:r>
      <w:r w:rsidR="00277748" w:rsidRPr="00A73CB0">
        <w:rPr>
          <w:sz w:val="24"/>
        </w:rPr>
        <w:t xml:space="preserve">expected </w:t>
      </w:r>
      <w:r w:rsidR="00277748">
        <w:rPr>
          <w:sz w:val="24"/>
        </w:rPr>
        <w:t xml:space="preserve">to </w:t>
      </w:r>
      <w:r w:rsidR="00277748" w:rsidRPr="00A73CB0">
        <w:rPr>
          <w:sz w:val="24"/>
        </w:rPr>
        <w:t xml:space="preserve">help in development of the insurance industry in Afghanistan.  Such policy initiatives are expected to not only strengthen the regulatory and supervisory practices, but also provide the industry with a well-defined roadmap for growth, </w:t>
      </w:r>
      <w:r w:rsidR="0000578F">
        <w:rPr>
          <w:sz w:val="24"/>
        </w:rPr>
        <w:t xml:space="preserve">financial stability, </w:t>
      </w:r>
      <w:r w:rsidR="00277748" w:rsidRPr="00A73CB0">
        <w:rPr>
          <w:sz w:val="24"/>
        </w:rPr>
        <w:t xml:space="preserve">and sound competition.  Some of these </w:t>
      </w:r>
      <w:r w:rsidR="0000578F">
        <w:rPr>
          <w:sz w:val="24"/>
        </w:rPr>
        <w:t>policy initiatives include</w:t>
      </w:r>
      <w:r w:rsidR="00277748" w:rsidRPr="00A73CB0">
        <w:rPr>
          <w:sz w:val="24"/>
        </w:rPr>
        <w:t>:</w:t>
      </w:r>
    </w:p>
    <w:p w:rsidR="00277748" w:rsidRPr="00A73CB0" w:rsidRDefault="00277748" w:rsidP="00277748">
      <w:pPr>
        <w:pStyle w:val="NoSpacing"/>
        <w:jc w:val="both"/>
        <w:rPr>
          <w:sz w:val="24"/>
        </w:rPr>
      </w:pPr>
    </w:p>
    <w:p w:rsidR="00277748" w:rsidRPr="00A73CB0" w:rsidRDefault="00277748" w:rsidP="00277748">
      <w:pPr>
        <w:pStyle w:val="NoSpacing"/>
        <w:numPr>
          <w:ilvl w:val="0"/>
          <w:numId w:val="9"/>
        </w:numPr>
        <w:jc w:val="both"/>
        <w:rPr>
          <w:sz w:val="24"/>
        </w:rPr>
      </w:pPr>
      <w:r w:rsidRPr="00A73CB0">
        <w:rPr>
          <w:sz w:val="24"/>
        </w:rPr>
        <w:t>Development and implementation of an upgraded and comprehensive insurance law, in line with international standards and best practices;</w:t>
      </w:r>
    </w:p>
    <w:p w:rsidR="00277748" w:rsidRPr="00A73CB0" w:rsidRDefault="00277748" w:rsidP="00277748">
      <w:pPr>
        <w:pStyle w:val="NoSpacing"/>
        <w:numPr>
          <w:ilvl w:val="0"/>
          <w:numId w:val="9"/>
        </w:numPr>
        <w:jc w:val="both"/>
        <w:rPr>
          <w:sz w:val="24"/>
        </w:rPr>
      </w:pPr>
      <w:r w:rsidRPr="00A73CB0">
        <w:rPr>
          <w:sz w:val="24"/>
        </w:rPr>
        <w:t>Introduction of sound financial standards and insurance solvency regime;</w:t>
      </w:r>
    </w:p>
    <w:p w:rsidR="00277748" w:rsidRPr="00A73CB0" w:rsidRDefault="00277748" w:rsidP="00277748">
      <w:pPr>
        <w:pStyle w:val="NoSpacing"/>
        <w:numPr>
          <w:ilvl w:val="0"/>
          <w:numId w:val="9"/>
        </w:numPr>
        <w:jc w:val="both"/>
        <w:rPr>
          <w:sz w:val="24"/>
        </w:rPr>
      </w:pPr>
      <w:r w:rsidRPr="00A73CB0">
        <w:rPr>
          <w:sz w:val="24"/>
        </w:rPr>
        <w:t>Promotion and development of Islamic alternative to insurance (Takaful);</w:t>
      </w:r>
    </w:p>
    <w:p w:rsidR="00277748" w:rsidRPr="00A73CB0" w:rsidRDefault="00277748" w:rsidP="00277748">
      <w:pPr>
        <w:pStyle w:val="NoSpacing"/>
        <w:numPr>
          <w:ilvl w:val="0"/>
          <w:numId w:val="9"/>
        </w:numPr>
        <w:jc w:val="both"/>
        <w:rPr>
          <w:sz w:val="24"/>
        </w:rPr>
      </w:pPr>
      <w:r w:rsidRPr="00A73CB0">
        <w:rPr>
          <w:sz w:val="24"/>
        </w:rPr>
        <w:t>Microinsurance market development to create access to insurance for low-income people;</w:t>
      </w:r>
    </w:p>
    <w:p w:rsidR="00277748" w:rsidRPr="00A73CB0" w:rsidRDefault="00277748" w:rsidP="00277748">
      <w:pPr>
        <w:pStyle w:val="NoSpacing"/>
        <w:numPr>
          <w:ilvl w:val="0"/>
          <w:numId w:val="9"/>
        </w:numPr>
        <w:jc w:val="both"/>
        <w:rPr>
          <w:sz w:val="24"/>
        </w:rPr>
      </w:pPr>
      <w:r w:rsidRPr="00A73CB0">
        <w:rPr>
          <w:sz w:val="24"/>
        </w:rPr>
        <w:t>Development of supervision and enforcement tools/ manuals for supervisory staff;</w:t>
      </w:r>
    </w:p>
    <w:p w:rsidR="00277748" w:rsidRPr="00A73CB0" w:rsidRDefault="00277748" w:rsidP="00277748">
      <w:pPr>
        <w:pStyle w:val="NoSpacing"/>
        <w:numPr>
          <w:ilvl w:val="0"/>
          <w:numId w:val="9"/>
        </w:numPr>
        <w:jc w:val="both"/>
        <w:rPr>
          <w:sz w:val="24"/>
        </w:rPr>
      </w:pPr>
      <w:r w:rsidRPr="00A73CB0">
        <w:rPr>
          <w:sz w:val="24"/>
        </w:rPr>
        <w:t xml:space="preserve">Training and capacity building of </w:t>
      </w:r>
      <w:r>
        <w:rPr>
          <w:sz w:val="24"/>
        </w:rPr>
        <w:t xml:space="preserve">supervisory </w:t>
      </w:r>
      <w:r w:rsidRPr="00A73CB0">
        <w:rPr>
          <w:sz w:val="24"/>
        </w:rPr>
        <w:t>staff in the important areas of Supervision, Enforcement, Reinsurance, Financial Analysis, On-Site and Off-Site Inspections;</w:t>
      </w:r>
      <w:r w:rsidR="0000578F">
        <w:rPr>
          <w:sz w:val="24"/>
        </w:rPr>
        <w:t xml:space="preserve"> and </w:t>
      </w:r>
    </w:p>
    <w:p w:rsidR="00277748" w:rsidRPr="0000578F" w:rsidRDefault="00277748" w:rsidP="0000578F">
      <w:pPr>
        <w:pStyle w:val="NoSpacing"/>
        <w:numPr>
          <w:ilvl w:val="0"/>
          <w:numId w:val="9"/>
        </w:numPr>
        <w:jc w:val="both"/>
        <w:rPr>
          <w:sz w:val="24"/>
        </w:rPr>
      </w:pPr>
      <w:r w:rsidRPr="00A73CB0">
        <w:rPr>
          <w:sz w:val="24"/>
        </w:rPr>
        <w:t>Development and execution of insurance education and awareness programs</w:t>
      </w:r>
      <w:r w:rsidRPr="0000578F">
        <w:rPr>
          <w:sz w:val="24"/>
        </w:rPr>
        <w:t>.</w:t>
      </w:r>
    </w:p>
    <w:p w:rsidR="00CF4C9C" w:rsidRDefault="00CF4C9C" w:rsidP="00CF4C9C">
      <w:pPr>
        <w:pStyle w:val="NoSpacing"/>
        <w:jc w:val="both"/>
        <w:rPr>
          <w:sz w:val="24"/>
        </w:rPr>
      </w:pPr>
    </w:p>
    <w:p w:rsidR="00CF4C9C" w:rsidRDefault="00CF4C9C" w:rsidP="00CF4C9C">
      <w:pPr>
        <w:pStyle w:val="NoSpacing"/>
        <w:jc w:val="both"/>
        <w:rPr>
          <w:sz w:val="24"/>
        </w:rPr>
      </w:pPr>
      <w:r>
        <w:rPr>
          <w:sz w:val="24"/>
        </w:rPr>
        <w:t>GDIA is also closely monitoring the financial indicators not just at the industry level but also at the individual level of an insurance company.  If an insurance company has shown signs of stagnant or negative growth in last year, the GDIA has taken up the matter with the insurance company, directing it to take corrective measures and ensure that while the interest of the policyholders is protected, the financial stability and viability of the company is also secured.</w:t>
      </w:r>
    </w:p>
    <w:p w:rsidR="00CF4C9C" w:rsidRDefault="00CF4C9C" w:rsidP="00CF4C9C">
      <w:pPr>
        <w:pStyle w:val="NoSpacing"/>
        <w:jc w:val="both"/>
        <w:rPr>
          <w:sz w:val="24"/>
        </w:rPr>
      </w:pPr>
    </w:p>
    <w:p w:rsidR="00CF4C9C" w:rsidRDefault="00CF4C9C" w:rsidP="00CF4C9C">
      <w:pPr>
        <w:pStyle w:val="NoSpacing"/>
        <w:jc w:val="both"/>
        <w:rPr>
          <w:sz w:val="24"/>
        </w:rPr>
      </w:pPr>
      <w:r>
        <w:rPr>
          <w:sz w:val="24"/>
        </w:rPr>
        <w:t xml:space="preserve">GDIA has been encouraging insurance companies to increase their financial </w:t>
      </w:r>
      <w:r w:rsidR="00820E71">
        <w:rPr>
          <w:sz w:val="24"/>
        </w:rPr>
        <w:t>capacity that</w:t>
      </w:r>
      <w:r>
        <w:rPr>
          <w:sz w:val="24"/>
        </w:rPr>
        <w:t xml:space="preserve"> will result in their ability to retain more risk and more premium in the country, rather passing it on to the foreign reinsurers.  For this purpose, GDIA is in the advance stages of developing and implementing the solvency regulations, which will help in ensuring that the insurance company possesses required level of financial capital at all times which is necessary to serve the policyholder liabilities.</w:t>
      </w:r>
    </w:p>
    <w:p w:rsidR="00CF4C9C" w:rsidRDefault="00CF4C9C" w:rsidP="00CF4C9C">
      <w:pPr>
        <w:pStyle w:val="NoSpacing"/>
        <w:jc w:val="both"/>
      </w:pPr>
    </w:p>
    <w:p w:rsidR="00DF18A5" w:rsidRDefault="00F12EE1" w:rsidP="00F12EE1">
      <w:pPr>
        <w:pStyle w:val="NoSpacing"/>
        <w:jc w:val="both"/>
        <w:rPr>
          <w:sz w:val="24"/>
        </w:rPr>
      </w:pPr>
      <w:r>
        <w:rPr>
          <w:sz w:val="24"/>
        </w:rPr>
        <w:t xml:space="preserve">The pursuance of this </w:t>
      </w:r>
      <w:r w:rsidR="00277748" w:rsidRPr="00A73CB0">
        <w:rPr>
          <w:sz w:val="24"/>
        </w:rPr>
        <w:t xml:space="preserve">strategic future direction </w:t>
      </w:r>
      <w:r>
        <w:rPr>
          <w:sz w:val="24"/>
        </w:rPr>
        <w:t xml:space="preserve">is expected to help in </w:t>
      </w:r>
      <w:r w:rsidR="00277748">
        <w:rPr>
          <w:sz w:val="24"/>
        </w:rPr>
        <w:t>contribut</w:t>
      </w:r>
      <w:r>
        <w:rPr>
          <w:sz w:val="24"/>
        </w:rPr>
        <w:t>ing</w:t>
      </w:r>
      <w:r w:rsidR="00277748">
        <w:rPr>
          <w:sz w:val="24"/>
        </w:rPr>
        <w:t xml:space="preserve"> to </w:t>
      </w:r>
      <w:r>
        <w:rPr>
          <w:sz w:val="24"/>
        </w:rPr>
        <w:t xml:space="preserve">the </w:t>
      </w:r>
      <w:r w:rsidR="00277748">
        <w:rPr>
          <w:sz w:val="24"/>
        </w:rPr>
        <w:t xml:space="preserve">development </w:t>
      </w:r>
      <w:r w:rsidR="00277748" w:rsidRPr="00A73CB0">
        <w:rPr>
          <w:sz w:val="24"/>
        </w:rPr>
        <w:t>of the insurance sector in Afghanistan,</w:t>
      </w:r>
      <w:r>
        <w:rPr>
          <w:sz w:val="24"/>
        </w:rPr>
        <w:t xml:space="preserve"> thus </w:t>
      </w:r>
      <w:r w:rsidR="00277748" w:rsidRPr="00A73CB0">
        <w:rPr>
          <w:sz w:val="24"/>
        </w:rPr>
        <w:t>cont</w:t>
      </w:r>
      <w:r w:rsidR="00277748">
        <w:rPr>
          <w:sz w:val="24"/>
        </w:rPr>
        <w:t>ributing to the economic growth in the country.</w:t>
      </w:r>
    </w:p>
    <w:p w:rsidR="00DF18A5" w:rsidRDefault="00DF18A5" w:rsidP="00DF18A5">
      <w:pPr>
        <w:pStyle w:val="NoSpacing"/>
      </w:pPr>
    </w:p>
    <w:p w:rsidR="00DF18A5" w:rsidRPr="00DF18A5" w:rsidRDefault="00DF18A5" w:rsidP="00DF18A5">
      <w:pPr>
        <w:pStyle w:val="NoSpacing"/>
      </w:pPr>
    </w:p>
    <w:p w:rsidR="00DF18A5" w:rsidRPr="00FE3786" w:rsidRDefault="00DF18A5" w:rsidP="00DF18A5">
      <w:pPr>
        <w:pStyle w:val="NoSpacing"/>
      </w:pPr>
    </w:p>
    <w:p w:rsidR="004A3922" w:rsidRPr="00FE3786" w:rsidRDefault="004A3922" w:rsidP="004A3922">
      <w:pPr>
        <w:spacing w:line="360" w:lineRule="auto"/>
        <w:jc w:val="right"/>
        <w:rPr>
          <w:rFonts w:asciiTheme="majorBidi" w:hAnsiTheme="majorBidi" w:cstheme="majorBidi"/>
          <w:sz w:val="26"/>
        </w:rPr>
      </w:pPr>
      <w:r w:rsidRPr="00FE3786">
        <w:rPr>
          <w:rFonts w:asciiTheme="minorHAnsi" w:eastAsiaTheme="minorHAnsi" w:hAnsiTheme="minorHAnsi" w:cstheme="minorBidi"/>
          <w:szCs w:val="22"/>
          <w:lang w:val="en-US" w:eastAsia="en-US"/>
        </w:rPr>
        <w:sym w:font="Wingdings" w:char="F06E"/>
      </w:r>
    </w:p>
    <w:sectPr w:rsidR="004A3922" w:rsidRPr="00FE3786" w:rsidSect="004E2530">
      <w:footerReference w:type="default"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E38" w:rsidRDefault="00EE5E38" w:rsidP="006127B0">
      <w:r>
        <w:separator/>
      </w:r>
    </w:p>
  </w:endnote>
  <w:endnote w:type="continuationSeparator" w:id="0">
    <w:p w:rsidR="00EE5E38" w:rsidRDefault="00EE5E38" w:rsidP="00612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 Zar">
    <w:altName w:val="Courier New"/>
    <w:panose1 w:val="00000400000000000000"/>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380664"/>
      <w:docPartObj>
        <w:docPartGallery w:val="Page Numbers (Bottom of Page)"/>
        <w:docPartUnique/>
      </w:docPartObj>
    </w:sdtPr>
    <w:sdtEndPr>
      <w:rPr>
        <w:noProof/>
      </w:rPr>
    </w:sdtEndPr>
    <w:sdtContent>
      <w:p w:rsidR="00D46604" w:rsidRDefault="00D46604">
        <w:pPr>
          <w:pStyle w:val="Footer"/>
          <w:jc w:val="right"/>
        </w:pPr>
        <w:r>
          <w:fldChar w:fldCharType="begin"/>
        </w:r>
        <w:r>
          <w:instrText xml:space="preserve"> PAGE   \* MERGEFORMAT </w:instrText>
        </w:r>
        <w:r>
          <w:fldChar w:fldCharType="separate"/>
        </w:r>
        <w:r w:rsidR="000B1411">
          <w:rPr>
            <w:noProof/>
          </w:rPr>
          <w:t>8</w:t>
        </w:r>
        <w:r>
          <w:rPr>
            <w:noProof/>
          </w:rPr>
          <w:fldChar w:fldCharType="end"/>
        </w:r>
      </w:p>
    </w:sdtContent>
  </w:sdt>
  <w:p w:rsidR="00D46604" w:rsidRDefault="00D466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E38" w:rsidRDefault="00EE5E38" w:rsidP="006127B0">
      <w:r>
        <w:separator/>
      </w:r>
    </w:p>
  </w:footnote>
  <w:footnote w:type="continuationSeparator" w:id="0">
    <w:p w:rsidR="00EE5E38" w:rsidRDefault="00EE5E38" w:rsidP="006127B0">
      <w:r>
        <w:continuationSeparator/>
      </w:r>
    </w:p>
  </w:footnote>
  <w:footnote w:id="1">
    <w:p w:rsidR="00D46604" w:rsidRDefault="00D46604" w:rsidP="00535883">
      <w:pPr>
        <w:pStyle w:val="FootnoteText"/>
        <w:jc w:val="both"/>
      </w:pPr>
      <w:r>
        <w:rPr>
          <w:rStyle w:val="FootnoteReference"/>
        </w:rPr>
        <w:footnoteRef/>
      </w:r>
      <w:r>
        <w:t xml:space="preserve"> </w:t>
      </w:r>
      <w:r w:rsidRPr="00535883">
        <w:rPr>
          <w:rFonts w:asciiTheme="minorHAnsi" w:hAnsiTheme="minorHAnsi" w:cstheme="minorHAnsi"/>
        </w:rPr>
        <w:t>Insurance penetration is the ratio of total insurance industry’s gross written premium to the country’s GDP.  It is represented in percentage.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34883"/>
    <w:multiLevelType w:val="hybridMultilevel"/>
    <w:tmpl w:val="FD52F10E"/>
    <w:lvl w:ilvl="0" w:tplc="D0A4A3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516FD2"/>
    <w:multiLevelType w:val="hybridMultilevel"/>
    <w:tmpl w:val="D6980AE2"/>
    <w:lvl w:ilvl="0" w:tplc="D0A4A3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B6F19"/>
    <w:multiLevelType w:val="hybridMultilevel"/>
    <w:tmpl w:val="AFCE1E6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064ADE"/>
    <w:multiLevelType w:val="hybridMultilevel"/>
    <w:tmpl w:val="C47A38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D542D"/>
    <w:multiLevelType w:val="hybridMultilevel"/>
    <w:tmpl w:val="095EB6F8"/>
    <w:lvl w:ilvl="0" w:tplc="D0A4A3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EB3CA5"/>
    <w:multiLevelType w:val="hybridMultilevel"/>
    <w:tmpl w:val="2E3C3EAE"/>
    <w:lvl w:ilvl="0" w:tplc="ABAA10C2">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F11CC7"/>
    <w:multiLevelType w:val="hybridMultilevel"/>
    <w:tmpl w:val="7FFA13B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991B59"/>
    <w:multiLevelType w:val="hybridMultilevel"/>
    <w:tmpl w:val="D0FE42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3A1B11"/>
    <w:multiLevelType w:val="hybridMultilevel"/>
    <w:tmpl w:val="FD2C4AD2"/>
    <w:lvl w:ilvl="0" w:tplc="D0A4A3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9369AD"/>
    <w:multiLevelType w:val="hybridMultilevel"/>
    <w:tmpl w:val="A810F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AC0CED"/>
    <w:multiLevelType w:val="hybridMultilevel"/>
    <w:tmpl w:val="47C00020"/>
    <w:lvl w:ilvl="0" w:tplc="D0A4A3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49212A"/>
    <w:multiLevelType w:val="hybridMultilevel"/>
    <w:tmpl w:val="15C47684"/>
    <w:lvl w:ilvl="0" w:tplc="D0A4A3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8C50EF"/>
    <w:multiLevelType w:val="hybridMultilevel"/>
    <w:tmpl w:val="7E40F022"/>
    <w:lvl w:ilvl="0" w:tplc="D0A4A3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EC1C2B"/>
    <w:multiLevelType w:val="hybridMultilevel"/>
    <w:tmpl w:val="AC6E8FDC"/>
    <w:lvl w:ilvl="0" w:tplc="D0A4A3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3A22C6"/>
    <w:multiLevelType w:val="hybridMultilevel"/>
    <w:tmpl w:val="7EDA10B8"/>
    <w:lvl w:ilvl="0" w:tplc="D0A4A3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507096"/>
    <w:multiLevelType w:val="multilevel"/>
    <w:tmpl w:val="DD4AF1E8"/>
    <w:lvl w:ilvl="0">
      <w:start w:val="4"/>
      <w:numFmt w:val="decimal"/>
      <w:lvlText w:val="%1"/>
      <w:lvlJc w:val="left"/>
      <w:pPr>
        <w:ind w:left="360" w:hanging="360"/>
      </w:pPr>
      <w:rPr>
        <w:rFonts w:asciiTheme="majorHAnsi" w:hAnsiTheme="majorHAnsi" w:cstheme="majorBidi" w:hint="default"/>
        <w:color w:val="365F91" w:themeColor="accent1" w:themeShade="BF"/>
      </w:rPr>
    </w:lvl>
    <w:lvl w:ilvl="1">
      <w:start w:val="7"/>
      <w:numFmt w:val="decimal"/>
      <w:lvlText w:val="%1.%2"/>
      <w:lvlJc w:val="left"/>
      <w:pPr>
        <w:ind w:left="360" w:hanging="360"/>
      </w:pPr>
      <w:rPr>
        <w:rFonts w:asciiTheme="majorHAnsi" w:hAnsiTheme="majorHAnsi" w:cstheme="majorBidi" w:hint="default"/>
        <w:color w:val="365F91" w:themeColor="accent1" w:themeShade="BF"/>
      </w:rPr>
    </w:lvl>
    <w:lvl w:ilvl="2">
      <w:start w:val="1"/>
      <w:numFmt w:val="decimal"/>
      <w:lvlText w:val="%1.%2.%3"/>
      <w:lvlJc w:val="left"/>
      <w:pPr>
        <w:ind w:left="720" w:hanging="720"/>
      </w:pPr>
      <w:rPr>
        <w:rFonts w:asciiTheme="majorHAnsi" w:hAnsiTheme="majorHAnsi" w:cstheme="majorBidi" w:hint="default"/>
        <w:color w:val="365F91" w:themeColor="accent1" w:themeShade="BF"/>
      </w:rPr>
    </w:lvl>
    <w:lvl w:ilvl="3">
      <w:start w:val="1"/>
      <w:numFmt w:val="decimal"/>
      <w:lvlText w:val="%1.%2.%3.%4"/>
      <w:lvlJc w:val="left"/>
      <w:pPr>
        <w:ind w:left="720" w:hanging="720"/>
      </w:pPr>
      <w:rPr>
        <w:rFonts w:asciiTheme="majorHAnsi" w:hAnsiTheme="majorHAnsi" w:cstheme="majorBidi" w:hint="default"/>
        <w:color w:val="365F91" w:themeColor="accent1" w:themeShade="BF"/>
      </w:rPr>
    </w:lvl>
    <w:lvl w:ilvl="4">
      <w:start w:val="1"/>
      <w:numFmt w:val="decimal"/>
      <w:lvlText w:val="%1.%2.%3.%4.%5"/>
      <w:lvlJc w:val="left"/>
      <w:pPr>
        <w:ind w:left="1080" w:hanging="1080"/>
      </w:pPr>
      <w:rPr>
        <w:rFonts w:asciiTheme="majorHAnsi" w:hAnsiTheme="majorHAnsi" w:cstheme="majorBidi" w:hint="default"/>
        <w:color w:val="365F91" w:themeColor="accent1" w:themeShade="BF"/>
      </w:rPr>
    </w:lvl>
    <w:lvl w:ilvl="5">
      <w:start w:val="1"/>
      <w:numFmt w:val="decimal"/>
      <w:lvlText w:val="%1.%2.%3.%4.%5.%6"/>
      <w:lvlJc w:val="left"/>
      <w:pPr>
        <w:ind w:left="1080" w:hanging="1080"/>
      </w:pPr>
      <w:rPr>
        <w:rFonts w:asciiTheme="majorHAnsi" w:hAnsiTheme="majorHAnsi" w:cstheme="majorBidi" w:hint="default"/>
        <w:color w:val="365F91" w:themeColor="accent1" w:themeShade="BF"/>
      </w:rPr>
    </w:lvl>
    <w:lvl w:ilvl="6">
      <w:start w:val="1"/>
      <w:numFmt w:val="decimal"/>
      <w:lvlText w:val="%1.%2.%3.%4.%5.%6.%7"/>
      <w:lvlJc w:val="left"/>
      <w:pPr>
        <w:ind w:left="1440" w:hanging="1440"/>
      </w:pPr>
      <w:rPr>
        <w:rFonts w:asciiTheme="majorHAnsi" w:hAnsiTheme="majorHAnsi" w:cstheme="majorBidi" w:hint="default"/>
        <w:color w:val="365F91" w:themeColor="accent1" w:themeShade="BF"/>
      </w:rPr>
    </w:lvl>
    <w:lvl w:ilvl="7">
      <w:start w:val="1"/>
      <w:numFmt w:val="decimal"/>
      <w:lvlText w:val="%1.%2.%3.%4.%5.%6.%7.%8"/>
      <w:lvlJc w:val="left"/>
      <w:pPr>
        <w:ind w:left="1440" w:hanging="1440"/>
      </w:pPr>
      <w:rPr>
        <w:rFonts w:asciiTheme="majorHAnsi" w:hAnsiTheme="majorHAnsi" w:cstheme="majorBidi" w:hint="default"/>
        <w:color w:val="365F91" w:themeColor="accent1" w:themeShade="BF"/>
      </w:rPr>
    </w:lvl>
    <w:lvl w:ilvl="8">
      <w:start w:val="1"/>
      <w:numFmt w:val="decimal"/>
      <w:lvlText w:val="%1.%2.%3.%4.%5.%6.%7.%8.%9"/>
      <w:lvlJc w:val="left"/>
      <w:pPr>
        <w:ind w:left="1800" w:hanging="1800"/>
      </w:pPr>
      <w:rPr>
        <w:rFonts w:asciiTheme="majorHAnsi" w:hAnsiTheme="majorHAnsi" w:cstheme="majorBidi" w:hint="default"/>
        <w:color w:val="365F91" w:themeColor="accent1" w:themeShade="BF"/>
      </w:rPr>
    </w:lvl>
  </w:abstractNum>
  <w:abstractNum w:abstractNumId="16" w15:restartNumberingAfterBreak="0">
    <w:nsid w:val="6D03696E"/>
    <w:multiLevelType w:val="hybridMultilevel"/>
    <w:tmpl w:val="B9E05B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D04E8A"/>
    <w:multiLevelType w:val="hybridMultilevel"/>
    <w:tmpl w:val="ACE0A21E"/>
    <w:lvl w:ilvl="0" w:tplc="D0A4A3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926805"/>
    <w:multiLevelType w:val="hybridMultilevel"/>
    <w:tmpl w:val="A5AE7E64"/>
    <w:lvl w:ilvl="0" w:tplc="202E0E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5"/>
  </w:num>
  <w:num w:numId="4">
    <w:abstractNumId w:val="10"/>
  </w:num>
  <w:num w:numId="5">
    <w:abstractNumId w:val="8"/>
  </w:num>
  <w:num w:numId="6">
    <w:abstractNumId w:val="0"/>
  </w:num>
  <w:num w:numId="7">
    <w:abstractNumId w:val="13"/>
  </w:num>
  <w:num w:numId="8">
    <w:abstractNumId w:val="4"/>
  </w:num>
  <w:num w:numId="9">
    <w:abstractNumId w:val="18"/>
  </w:num>
  <w:num w:numId="10">
    <w:abstractNumId w:val="17"/>
  </w:num>
  <w:num w:numId="11">
    <w:abstractNumId w:val="14"/>
  </w:num>
  <w:num w:numId="12">
    <w:abstractNumId w:val="6"/>
  </w:num>
  <w:num w:numId="13">
    <w:abstractNumId w:val="2"/>
  </w:num>
  <w:num w:numId="14">
    <w:abstractNumId w:val="3"/>
  </w:num>
  <w:num w:numId="15">
    <w:abstractNumId w:val="1"/>
  </w:num>
  <w:num w:numId="16">
    <w:abstractNumId w:val="16"/>
  </w:num>
  <w:num w:numId="17">
    <w:abstractNumId w:val="9"/>
  </w:num>
  <w:num w:numId="18">
    <w:abstractNumId w:val="11"/>
  </w:num>
  <w:num w:numId="19">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73C"/>
    <w:rsid w:val="0000578F"/>
    <w:rsid w:val="0001064E"/>
    <w:rsid w:val="00022A97"/>
    <w:rsid w:val="000243E1"/>
    <w:rsid w:val="000260F2"/>
    <w:rsid w:val="00033C1B"/>
    <w:rsid w:val="00037736"/>
    <w:rsid w:val="00047109"/>
    <w:rsid w:val="000471F6"/>
    <w:rsid w:val="00047ECD"/>
    <w:rsid w:val="00051242"/>
    <w:rsid w:val="00056715"/>
    <w:rsid w:val="000622CD"/>
    <w:rsid w:val="0006277C"/>
    <w:rsid w:val="00062917"/>
    <w:rsid w:val="00062D95"/>
    <w:rsid w:val="000630A2"/>
    <w:rsid w:val="00063B3F"/>
    <w:rsid w:val="00082A27"/>
    <w:rsid w:val="00084C6B"/>
    <w:rsid w:val="00085318"/>
    <w:rsid w:val="0008779A"/>
    <w:rsid w:val="00096502"/>
    <w:rsid w:val="000A03EF"/>
    <w:rsid w:val="000A440B"/>
    <w:rsid w:val="000B1411"/>
    <w:rsid w:val="000B206F"/>
    <w:rsid w:val="000B41CB"/>
    <w:rsid w:val="000B712D"/>
    <w:rsid w:val="000B76AB"/>
    <w:rsid w:val="000B7FE4"/>
    <w:rsid w:val="000C78B3"/>
    <w:rsid w:val="000D6365"/>
    <w:rsid w:val="000E49A1"/>
    <w:rsid w:val="000E724C"/>
    <w:rsid w:val="000F1034"/>
    <w:rsid w:val="000F21F4"/>
    <w:rsid w:val="000F5B3A"/>
    <w:rsid w:val="000F7B0E"/>
    <w:rsid w:val="00101D3F"/>
    <w:rsid w:val="00101DB9"/>
    <w:rsid w:val="00102831"/>
    <w:rsid w:val="00121ABD"/>
    <w:rsid w:val="00122C47"/>
    <w:rsid w:val="0012463F"/>
    <w:rsid w:val="00135F8F"/>
    <w:rsid w:val="00136903"/>
    <w:rsid w:val="00136FA8"/>
    <w:rsid w:val="001424F2"/>
    <w:rsid w:val="00145388"/>
    <w:rsid w:val="0015253D"/>
    <w:rsid w:val="00152E1F"/>
    <w:rsid w:val="00153084"/>
    <w:rsid w:val="001542E0"/>
    <w:rsid w:val="00156993"/>
    <w:rsid w:val="00156C18"/>
    <w:rsid w:val="0015740B"/>
    <w:rsid w:val="00160AEB"/>
    <w:rsid w:val="001665B5"/>
    <w:rsid w:val="00167E36"/>
    <w:rsid w:val="00173AFB"/>
    <w:rsid w:val="00174E93"/>
    <w:rsid w:val="00175E9C"/>
    <w:rsid w:val="001835FA"/>
    <w:rsid w:val="00183DD3"/>
    <w:rsid w:val="00185106"/>
    <w:rsid w:val="00187CF6"/>
    <w:rsid w:val="00192E0D"/>
    <w:rsid w:val="00194949"/>
    <w:rsid w:val="00197849"/>
    <w:rsid w:val="001A0C6E"/>
    <w:rsid w:val="001B22F0"/>
    <w:rsid w:val="001B4AD0"/>
    <w:rsid w:val="001C20DE"/>
    <w:rsid w:val="001C252C"/>
    <w:rsid w:val="001C6683"/>
    <w:rsid w:val="001D1CEC"/>
    <w:rsid w:val="001D29AA"/>
    <w:rsid w:val="001D4785"/>
    <w:rsid w:val="001E336D"/>
    <w:rsid w:val="001E3EE4"/>
    <w:rsid w:val="001E6F1E"/>
    <w:rsid w:val="001E753E"/>
    <w:rsid w:val="001F084C"/>
    <w:rsid w:val="001F24AA"/>
    <w:rsid w:val="001F538E"/>
    <w:rsid w:val="001F7E82"/>
    <w:rsid w:val="00201E88"/>
    <w:rsid w:val="0020236C"/>
    <w:rsid w:val="00207E54"/>
    <w:rsid w:val="00213C23"/>
    <w:rsid w:val="002157A9"/>
    <w:rsid w:val="002157FA"/>
    <w:rsid w:val="00216272"/>
    <w:rsid w:val="00227CE3"/>
    <w:rsid w:val="00227D4C"/>
    <w:rsid w:val="00232ECF"/>
    <w:rsid w:val="002365E8"/>
    <w:rsid w:val="0024108A"/>
    <w:rsid w:val="002418D3"/>
    <w:rsid w:val="00247610"/>
    <w:rsid w:val="002478F4"/>
    <w:rsid w:val="002517AB"/>
    <w:rsid w:val="0025356F"/>
    <w:rsid w:val="00260D8B"/>
    <w:rsid w:val="002615A3"/>
    <w:rsid w:val="002639AE"/>
    <w:rsid w:val="00265B24"/>
    <w:rsid w:val="002666E0"/>
    <w:rsid w:val="00272785"/>
    <w:rsid w:val="00276F41"/>
    <w:rsid w:val="00277748"/>
    <w:rsid w:val="00291A6B"/>
    <w:rsid w:val="00292237"/>
    <w:rsid w:val="0029520E"/>
    <w:rsid w:val="002A60B7"/>
    <w:rsid w:val="002B0A21"/>
    <w:rsid w:val="002B6B11"/>
    <w:rsid w:val="002C0652"/>
    <w:rsid w:val="002C2C7A"/>
    <w:rsid w:val="002C4000"/>
    <w:rsid w:val="002C70CC"/>
    <w:rsid w:val="002D6533"/>
    <w:rsid w:val="002D7AA4"/>
    <w:rsid w:val="002E42E8"/>
    <w:rsid w:val="002E5869"/>
    <w:rsid w:val="002F429C"/>
    <w:rsid w:val="002F42B0"/>
    <w:rsid w:val="00301D4E"/>
    <w:rsid w:val="00314133"/>
    <w:rsid w:val="00315962"/>
    <w:rsid w:val="00322DE3"/>
    <w:rsid w:val="00323719"/>
    <w:rsid w:val="003241EA"/>
    <w:rsid w:val="00324A8D"/>
    <w:rsid w:val="003264F0"/>
    <w:rsid w:val="003271C3"/>
    <w:rsid w:val="00327D4A"/>
    <w:rsid w:val="00331B74"/>
    <w:rsid w:val="00332061"/>
    <w:rsid w:val="003357A5"/>
    <w:rsid w:val="0034352A"/>
    <w:rsid w:val="00361724"/>
    <w:rsid w:val="00363EA9"/>
    <w:rsid w:val="00373C8B"/>
    <w:rsid w:val="00374053"/>
    <w:rsid w:val="003804AE"/>
    <w:rsid w:val="0038151B"/>
    <w:rsid w:val="00383974"/>
    <w:rsid w:val="00384E84"/>
    <w:rsid w:val="00390400"/>
    <w:rsid w:val="00392196"/>
    <w:rsid w:val="00397FE2"/>
    <w:rsid w:val="003A0518"/>
    <w:rsid w:val="003A0D2C"/>
    <w:rsid w:val="003A20B3"/>
    <w:rsid w:val="003A272D"/>
    <w:rsid w:val="003A39E6"/>
    <w:rsid w:val="003A6431"/>
    <w:rsid w:val="003A7AE4"/>
    <w:rsid w:val="003B4661"/>
    <w:rsid w:val="003C0B1A"/>
    <w:rsid w:val="003C721C"/>
    <w:rsid w:val="003C72FB"/>
    <w:rsid w:val="003D0442"/>
    <w:rsid w:val="003D1641"/>
    <w:rsid w:val="003D306E"/>
    <w:rsid w:val="003D3ED6"/>
    <w:rsid w:val="003D7C1B"/>
    <w:rsid w:val="003E20C0"/>
    <w:rsid w:val="003E335B"/>
    <w:rsid w:val="003E5728"/>
    <w:rsid w:val="003F0175"/>
    <w:rsid w:val="003F7915"/>
    <w:rsid w:val="00401CC5"/>
    <w:rsid w:val="0040523D"/>
    <w:rsid w:val="00410D87"/>
    <w:rsid w:val="004137EF"/>
    <w:rsid w:val="00414928"/>
    <w:rsid w:val="00414935"/>
    <w:rsid w:val="00414A38"/>
    <w:rsid w:val="00414AA8"/>
    <w:rsid w:val="00427468"/>
    <w:rsid w:val="004307C9"/>
    <w:rsid w:val="004319EE"/>
    <w:rsid w:val="00431FAF"/>
    <w:rsid w:val="0043343E"/>
    <w:rsid w:val="004416AA"/>
    <w:rsid w:val="00441C6A"/>
    <w:rsid w:val="0044422F"/>
    <w:rsid w:val="0044499B"/>
    <w:rsid w:val="00445512"/>
    <w:rsid w:val="004455B1"/>
    <w:rsid w:val="00446836"/>
    <w:rsid w:val="00450F47"/>
    <w:rsid w:val="00465BD5"/>
    <w:rsid w:val="00473DCD"/>
    <w:rsid w:val="00474486"/>
    <w:rsid w:val="00481708"/>
    <w:rsid w:val="00481F05"/>
    <w:rsid w:val="004828A7"/>
    <w:rsid w:val="00483224"/>
    <w:rsid w:val="00485616"/>
    <w:rsid w:val="00487979"/>
    <w:rsid w:val="00494909"/>
    <w:rsid w:val="0049756B"/>
    <w:rsid w:val="0049758A"/>
    <w:rsid w:val="004A174A"/>
    <w:rsid w:val="004A265F"/>
    <w:rsid w:val="004A3922"/>
    <w:rsid w:val="004A66EF"/>
    <w:rsid w:val="004B00F6"/>
    <w:rsid w:val="004D4CC5"/>
    <w:rsid w:val="004D55F1"/>
    <w:rsid w:val="004E08A0"/>
    <w:rsid w:val="004E19AF"/>
    <w:rsid w:val="004E2530"/>
    <w:rsid w:val="004E48E9"/>
    <w:rsid w:val="004E6C46"/>
    <w:rsid w:val="004E7BCB"/>
    <w:rsid w:val="004F06ED"/>
    <w:rsid w:val="004F0DEF"/>
    <w:rsid w:val="004F48AC"/>
    <w:rsid w:val="004F5FAC"/>
    <w:rsid w:val="0050041A"/>
    <w:rsid w:val="00501CD6"/>
    <w:rsid w:val="00501E44"/>
    <w:rsid w:val="00502310"/>
    <w:rsid w:val="00502699"/>
    <w:rsid w:val="00504D63"/>
    <w:rsid w:val="00513E43"/>
    <w:rsid w:val="00521345"/>
    <w:rsid w:val="00523823"/>
    <w:rsid w:val="00524036"/>
    <w:rsid w:val="00525A73"/>
    <w:rsid w:val="00534792"/>
    <w:rsid w:val="00534CE6"/>
    <w:rsid w:val="00535883"/>
    <w:rsid w:val="0054151A"/>
    <w:rsid w:val="00542793"/>
    <w:rsid w:val="00545DD2"/>
    <w:rsid w:val="0054766F"/>
    <w:rsid w:val="00550B95"/>
    <w:rsid w:val="00552FBF"/>
    <w:rsid w:val="005561BA"/>
    <w:rsid w:val="00570BE2"/>
    <w:rsid w:val="005743F3"/>
    <w:rsid w:val="00574D1C"/>
    <w:rsid w:val="0057726F"/>
    <w:rsid w:val="005814B4"/>
    <w:rsid w:val="00581AA8"/>
    <w:rsid w:val="005821F5"/>
    <w:rsid w:val="00585A6E"/>
    <w:rsid w:val="00590CA9"/>
    <w:rsid w:val="00591F61"/>
    <w:rsid w:val="00593B76"/>
    <w:rsid w:val="00593C33"/>
    <w:rsid w:val="005954D5"/>
    <w:rsid w:val="005A03A0"/>
    <w:rsid w:val="005A2379"/>
    <w:rsid w:val="005A3ACB"/>
    <w:rsid w:val="005A7F0C"/>
    <w:rsid w:val="005B1BFB"/>
    <w:rsid w:val="005B210E"/>
    <w:rsid w:val="005B3E30"/>
    <w:rsid w:val="005B4172"/>
    <w:rsid w:val="005B52D6"/>
    <w:rsid w:val="005B62E0"/>
    <w:rsid w:val="005B7401"/>
    <w:rsid w:val="005B7FB7"/>
    <w:rsid w:val="005C6C80"/>
    <w:rsid w:val="005D4C4C"/>
    <w:rsid w:val="005D6E5D"/>
    <w:rsid w:val="005E0979"/>
    <w:rsid w:val="005E4CDF"/>
    <w:rsid w:val="005E7B84"/>
    <w:rsid w:val="005F2A91"/>
    <w:rsid w:val="005F4454"/>
    <w:rsid w:val="005F7D4C"/>
    <w:rsid w:val="005F7E66"/>
    <w:rsid w:val="00605B2A"/>
    <w:rsid w:val="006127B0"/>
    <w:rsid w:val="006129C7"/>
    <w:rsid w:val="00612A3B"/>
    <w:rsid w:val="00613F37"/>
    <w:rsid w:val="00622412"/>
    <w:rsid w:val="006238D9"/>
    <w:rsid w:val="00623CC6"/>
    <w:rsid w:val="0062413D"/>
    <w:rsid w:val="006302BD"/>
    <w:rsid w:val="00634368"/>
    <w:rsid w:val="00635483"/>
    <w:rsid w:val="00644AF9"/>
    <w:rsid w:val="00645C42"/>
    <w:rsid w:val="00646224"/>
    <w:rsid w:val="006527B6"/>
    <w:rsid w:val="00652AB3"/>
    <w:rsid w:val="00653516"/>
    <w:rsid w:val="00654689"/>
    <w:rsid w:val="00654BE7"/>
    <w:rsid w:val="006553D4"/>
    <w:rsid w:val="006570BF"/>
    <w:rsid w:val="00660BF8"/>
    <w:rsid w:val="00661F5C"/>
    <w:rsid w:val="00663A98"/>
    <w:rsid w:val="00663B24"/>
    <w:rsid w:val="00672884"/>
    <w:rsid w:val="006810AA"/>
    <w:rsid w:val="00684786"/>
    <w:rsid w:val="00691173"/>
    <w:rsid w:val="00691556"/>
    <w:rsid w:val="0069257A"/>
    <w:rsid w:val="00693DC3"/>
    <w:rsid w:val="00694D2A"/>
    <w:rsid w:val="0069607E"/>
    <w:rsid w:val="00697CA8"/>
    <w:rsid w:val="006A0721"/>
    <w:rsid w:val="006A3765"/>
    <w:rsid w:val="006A4E0C"/>
    <w:rsid w:val="006B6CDC"/>
    <w:rsid w:val="006B74BD"/>
    <w:rsid w:val="006C1609"/>
    <w:rsid w:val="006C30BF"/>
    <w:rsid w:val="006C3CCE"/>
    <w:rsid w:val="006C4C60"/>
    <w:rsid w:val="006C5E1A"/>
    <w:rsid w:val="006C7C6F"/>
    <w:rsid w:val="006D0D02"/>
    <w:rsid w:val="006D0E77"/>
    <w:rsid w:val="006D15B5"/>
    <w:rsid w:val="006D2056"/>
    <w:rsid w:val="006D44FB"/>
    <w:rsid w:val="006D66B9"/>
    <w:rsid w:val="006D66DC"/>
    <w:rsid w:val="006D6E3F"/>
    <w:rsid w:val="006F1742"/>
    <w:rsid w:val="006F62E6"/>
    <w:rsid w:val="007010DC"/>
    <w:rsid w:val="00702196"/>
    <w:rsid w:val="00702291"/>
    <w:rsid w:val="00702876"/>
    <w:rsid w:val="007033C0"/>
    <w:rsid w:val="007050C3"/>
    <w:rsid w:val="00710709"/>
    <w:rsid w:val="00710A17"/>
    <w:rsid w:val="007177BC"/>
    <w:rsid w:val="00717BE6"/>
    <w:rsid w:val="00720EF4"/>
    <w:rsid w:val="0072384D"/>
    <w:rsid w:val="00727F1E"/>
    <w:rsid w:val="0073213F"/>
    <w:rsid w:val="007364E8"/>
    <w:rsid w:val="007425CD"/>
    <w:rsid w:val="00744907"/>
    <w:rsid w:val="00744E0A"/>
    <w:rsid w:val="00751A9B"/>
    <w:rsid w:val="007547A0"/>
    <w:rsid w:val="007560F4"/>
    <w:rsid w:val="0075760D"/>
    <w:rsid w:val="00757A7F"/>
    <w:rsid w:val="00757DD2"/>
    <w:rsid w:val="00760269"/>
    <w:rsid w:val="00762F2F"/>
    <w:rsid w:val="00764481"/>
    <w:rsid w:val="007679AE"/>
    <w:rsid w:val="00770513"/>
    <w:rsid w:val="00780D27"/>
    <w:rsid w:val="0078154D"/>
    <w:rsid w:val="00781CAD"/>
    <w:rsid w:val="0078206D"/>
    <w:rsid w:val="00782625"/>
    <w:rsid w:val="00783404"/>
    <w:rsid w:val="00786160"/>
    <w:rsid w:val="00786DD8"/>
    <w:rsid w:val="007910D4"/>
    <w:rsid w:val="007925B0"/>
    <w:rsid w:val="007A33FF"/>
    <w:rsid w:val="007A74DA"/>
    <w:rsid w:val="007B317C"/>
    <w:rsid w:val="007B5105"/>
    <w:rsid w:val="007C0D44"/>
    <w:rsid w:val="007D3138"/>
    <w:rsid w:val="007D3780"/>
    <w:rsid w:val="007D3A45"/>
    <w:rsid w:val="007D4EA5"/>
    <w:rsid w:val="007D587A"/>
    <w:rsid w:val="007D5F9A"/>
    <w:rsid w:val="007E0434"/>
    <w:rsid w:val="007E4342"/>
    <w:rsid w:val="007E444E"/>
    <w:rsid w:val="007F0D3C"/>
    <w:rsid w:val="007F1307"/>
    <w:rsid w:val="007F4A32"/>
    <w:rsid w:val="007F5F3D"/>
    <w:rsid w:val="007F6C59"/>
    <w:rsid w:val="00801D28"/>
    <w:rsid w:val="00814D07"/>
    <w:rsid w:val="00815CFD"/>
    <w:rsid w:val="00816F39"/>
    <w:rsid w:val="00817F20"/>
    <w:rsid w:val="00820E71"/>
    <w:rsid w:val="00823913"/>
    <w:rsid w:val="00826E8D"/>
    <w:rsid w:val="0082752E"/>
    <w:rsid w:val="00827A0B"/>
    <w:rsid w:val="008305E5"/>
    <w:rsid w:val="008314F9"/>
    <w:rsid w:val="00834392"/>
    <w:rsid w:val="00835990"/>
    <w:rsid w:val="00843CCA"/>
    <w:rsid w:val="008519EB"/>
    <w:rsid w:val="008533D7"/>
    <w:rsid w:val="00853E55"/>
    <w:rsid w:val="00857F4E"/>
    <w:rsid w:val="00860AAE"/>
    <w:rsid w:val="008620E3"/>
    <w:rsid w:val="008741FA"/>
    <w:rsid w:val="00874CEF"/>
    <w:rsid w:val="00884E1B"/>
    <w:rsid w:val="00886DB3"/>
    <w:rsid w:val="00893FF6"/>
    <w:rsid w:val="008A6339"/>
    <w:rsid w:val="008A73BE"/>
    <w:rsid w:val="008A7EFF"/>
    <w:rsid w:val="008B0420"/>
    <w:rsid w:val="008B1B42"/>
    <w:rsid w:val="008B28D4"/>
    <w:rsid w:val="008B32A8"/>
    <w:rsid w:val="008B43B4"/>
    <w:rsid w:val="008B6ADE"/>
    <w:rsid w:val="008C3E8E"/>
    <w:rsid w:val="008C77D8"/>
    <w:rsid w:val="008C7B58"/>
    <w:rsid w:val="008D1505"/>
    <w:rsid w:val="008D1591"/>
    <w:rsid w:val="008D2313"/>
    <w:rsid w:val="008E012D"/>
    <w:rsid w:val="008E0F98"/>
    <w:rsid w:val="008F4A2F"/>
    <w:rsid w:val="00903485"/>
    <w:rsid w:val="009038F8"/>
    <w:rsid w:val="00907A5C"/>
    <w:rsid w:val="00907EA4"/>
    <w:rsid w:val="00910D1C"/>
    <w:rsid w:val="00916555"/>
    <w:rsid w:val="00924070"/>
    <w:rsid w:val="0092576D"/>
    <w:rsid w:val="00927045"/>
    <w:rsid w:val="00932488"/>
    <w:rsid w:val="00937F6D"/>
    <w:rsid w:val="00942691"/>
    <w:rsid w:val="009447D5"/>
    <w:rsid w:val="00944DD4"/>
    <w:rsid w:val="009530C9"/>
    <w:rsid w:val="00953C59"/>
    <w:rsid w:val="00953D43"/>
    <w:rsid w:val="00953EF3"/>
    <w:rsid w:val="0095790F"/>
    <w:rsid w:val="00964176"/>
    <w:rsid w:val="009735B5"/>
    <w:rsid w:val="00984684"/>
    <w:rsid w:val="0098500C"/>
    <w:rsid w:val="00990C77"/>
    <w:rsid w:val="009A5313"/>
    <w:rsid w:val="009A5747"/>
    <w:rsid w:val="009B02A8"/>
    <w:rsid w:val="009B28BC"/>
    <w:rsid w:val="009B509C"/>
    <w:rsid w:val="009B6C97"/>
    <w:rsid w:val="009C31A0"/>
    <w:rsid w:val="009C633B"/>
    <w:rsid w:val="009C6685"/>
    <w:rsid w:val="009D2113"/>
    <w:rsid w:val="009D518D"/>
    <w:rsid w:val="009D61E9"/>
    <w:rsid w:val="009D7EC8"/>
    <w:rsid w:val="009E6EE4"/>
    <w:rsid w:val="009E73E6"/>
    <w:rsid w:val="009F6E31"/>
    <w:rsid w:val="00A00304"/>
    <w:rsid w:val="00A1080F"/>
    <w:rsid w:val="00A1152D"/>
    <w:rsid w:val="00A1186A"/>
    <w:rsid w:val="00A13066"/>
    <w:rsid w:val="00A225E9"/>
    <w:rsid w:val="00A267EE"/>
    <w:rsid w:val="00A26D03"/>
    <w:rsid w:val="00A311E3"/>
    <w:rsid w:val="00A34517"/>
    <w:rsid w:val="00A36A4B"/>
    <w:rsid w:val="00A374EA"/>
    <w:rsid w:val="00A41140"/>
    <w:rsid w:val="00A43DF2"/>
    <w:rsid w:val="00A505C6"/>
    <w:rsid w:val="00A507C2"/>
    <w:rsid w:val="00A53239"/>
    <w:rsid w:val="00A53CE0"/>
    <w:rsid w:val="00A5504B"/>
    <w:rsid w:val="00A60B05"/>
    <w:rsid w:val="00A612FD"/>
    <w:rsid w:val="00A61784"/>
    <w:rsid w:val="00A72BBC"/>
    <w:rsid w:val="00A81BE4"/>
    <w:rsid w:val="00A85C57"/>
    <w:rsid w:val="00A8740D"/>
    <w:rsid w:val="00A90E99"/>
    <w:rsid w:val="00A93542"/>
    <w:rsid w:val="00A936C2"/>
    <w:rsid w:val="00A943D8"/>
    <w:rsid w:val="00A963AC"/>
    <w:rsid w:val="00A9642B"/>
    <w:rsid w:val="00AA0060"/>
    <w:rsid w:val="00AA25F2"/>
    <w:rsid w:val="00AC0E95"/>
    <w:rsid w:val="00AC3DFA"/>
    <w:rsid w:val="00AC57AF"/>
    <w:rsid w:val="00AD0BAC"/>
    <w:rsid w:val="00AD2434"/>
    <w:rsid w:val="00AE0335"/>
    <w:rsid w:val="00AE0E4D"/>
    <w:rsid w:val="00AE4D25"/>
    <w:rsid w:val="00AE51B6"/>
    <w:rsid w:val="00AF18A5"/>
    <w:rsid w:val="00AF518C"/>
    <w:rsid w:val="00B00F4D"/>
    <w:rsid w:val="00B01E84"/>
    <w:rsid w:val="00B02A8F"/>
    <w:rsid w:val="00B05C46"/>
    <w:rsid w:val="00B10D98"/>
    <w:rsid w:val="00B16795"/>
    <w:rsid w:val="00B2207B"/>
    <w:rsid w:val="00B22790"/>
    <w:rsid w:val="00B259BA"/>
    <w:rsid w:val="00B27459"/>
    <w:rsid w:val="00B313E9"/>
    <w:rsid w:val="00B32575"/>
    <w:rsid w:val="00B3422D"/>
    <w:rsid w:val="00B34DD5"/>
    <w:rsid w:val="00B34E74"/>
    <w:rsid w:val="00B40A09"/>
    <w:rsid w:val="00B45667"/>
    <w:rsid w:val="00B53C18"/>
    <w:rsid w:val="00B55ED5"/>
    <w:rsid w:val="00B563A3"/>
    <w:rsid w:val="00B56E76"/>
    <w:rsid w:val="00B5798E"/>
    <w:rsid w:val="00B62221"/>
    <w:rsid w:val="00B64997"/>
    <w:rsid w:val="00B66D76"/>
    <w:rsid w:val="00B72365"/>
    <w:rsid w:val="00B7512D"/>
    <w:rsid w:val="00B7522D"/>
    <w:rsid w:val="00B84F33"/>
    <w:rsid w:val="00B856BD"/>
    <w:rsid w:val="00B86BFB"/>
    <w:rsid w:val="00B87BED"/>
    <w:rsid w:val="00B9258C"/>
    <w:rsid w:val="00B92D2E"/>
    <w:rsid w:val="00B93028"/>
    <w:rsid w:val="00B94BC8"/>
    <w:rsid w:val="00BA049D"/>
    <w:rsid w:val="00BA0A18"/>
    <w:rsid w:val="00BA1E35"/>
    <w:rsid w:val="00BA4295"/>
    <w:rsid w:val="00BA4E4E"/>
    <w:rsid w:val="00BA7C12"/>
    <w:rsid w:val="00BA7DB6"/>
    <w:rsid w:val="00BB110A"/>
    <w:rsid w:val="00BB1FC7"/>
    <w:rsid w:val="00BB340C"/>
    <w:rsid w:val="00BB3647"/>
    <w:rsid w:val="00BC1595"/>
    <w:rsid w:val="00BC1D4E"/>
    <w:rsid w:val="00BC2D3A"/>
    <w:rsid w:val="00BC317E"/>
    <w:rsid w:val="00BC4A36"/>
    <w:rsid w:val="00BC6DC2"/>
    <w:rsid w:val="00BC6F73"/>
    <w:rsid w:val="00BD0072"/>
    <w:rsid w:val="00BD4874"/>
    <w:rsid w:val="00BD56D6"/>
    <w:rsid w:val="00BD7B91"/>
    <w:rsid w:val="00BF1965"/>
    <w:rsid w:val="00BF799D"/>
    <w:rsid w:val="00C022F2"/>
    <w:rsid w:val="00C03AC8"/>
    <w:rsid w:val="00C04306"/>
    <w:rsid w:val="00C06651"/>
    <w:rsid w:val="00C0705C"/>
    <w:rsid w:val="00C12DDB"/>
    <w:rsid w:val="00C14CF5"/>
    <w:rsid w:val="00C201B5"/>
    <w:rsid w:val="00C20BA4"/>
    <w:rsid w:val="00C214AC"/>
    <w:rsid w:val="00C2220A"/>
    <w:rsid w:val="00C23F67"/>
    <w:rsid w:val="00C27879"/>
    <w:rsid w:val="00C316AF"/>
    <w:rsid w:val="00C32D95"/>
    <w:rsid w:val="00C334E6"/>
    <w:rsid w:val="00C3561E"/>
    <w:rsid w:val="00C40B83"/>
    <w:rsid w:val="00C45ADE"/>
    <w:rsid w:val="00C54A96"/>
    <w:rsid w:val="00C578A6"/>
    <w:rsid w:val="00C627C6"/>
    <w:rsid w:val="00C635C8"/>
    <w:rsid w:val="00C733AB"/>
    <w:rsid w:val="00C85561"/>
    <w:rsid w:val="00C87644"/>
    <w:rsid w:val="00C91842"/>
    <w:rsid w:val="00C926AD"/>
    <w:rsid w:val="00CA2025"/>
    <w:rsid w:val="00CB12D8"/>
    <w:rsid w:val="00CC4560"/>
    <w:rsid w:val="00CD4763"/>
    <w:rsid w:val="00CD49C1"/>
    <w:rsid w:val="00CE0FD7"/>
    <w:rsid w:val="00CE14E8"/>
    <w:rsid w:val="00CE563E"/>
    <w:rsid w:val="00CE68FA"/>
    <w:rsid w:val="00CE7AB7"/>
    <w:rsid w:val="00CF18ED"/>
    <w:rsid w:val="00CF32D1"/>
    <w:rsid w:val="00CF46B8"/>
    <w:rsid w:val="00CF4C9C"/>
    <w:rsid w:val="00CF77E9"/>
    <w:rsid w:val="00D00785"/>
    <w:rsid w:val="00D03410"/>
    <w:rsid w:val="00D03FFC"/>
    <w:rsid w:val="00D0544E"/>
    <w:rsid w:val="00D05574"/>
    <w:rsid w:val="00D2299B"/>
    <w:rsid w:val="00D238DE"/>
    <w:rsid w:val="00D2482D"/>
    <w:rsid w:val="00D24E87"/>
    <w:rsid w:val="00D269D1"/>
    <w:rsid w:val="00D27DFD"/>
    <w:rsid w:val="00D3108B"/>
    <w:rsid w:val="00D3352B"/>
    <w:rsid w:val="00D33EF1"/>
    <w:rsid w:val="00D34570"/>
    <w:rsid w:val="00D40248"/>
    <w:rsid w:val="00D4188D"/>
    <w:rsid w:val="00D42087"/>
    <w:rsid w:val="00D46604"/>
    <w:rsid w:val="00D53990"/>
    <w:rsid w:val="00D55B59"/>
    <w:rsid w:val="00D57E4F"/>
    <w:rsid w:val="00D57EFB"/>
    <w:rsid w:val="00D605C3"/>
    <w:rsid w:val="00D63972"/>
    <w:rsid w:val="00D65C8E"/>
    <w:rsid w:val="00D673DF"/>
    <w:rsid w:val="00D71AEA"/>
    <w:rsid w:val="00D74DAA"/>
    <w:rsid w:val="00D9645D"/>
    <w:rsid w:val="00D97780"/>
    <w:rsid w:val="00DA2D11"/>
    <w:rsid w:val="00DA3427"/>
    <w:rsid w:val="00DB2499"/>
    <w:rsid w:val="00DB2B33"/>
    <w:rsid w:val="00DB2D7F"/>
    <w:rsid w:val="00DB2E90"/>
    <w:rsid w:val="00DB2F7F"/>
    <w:rsid w:val="00DB40CE"/>
    <w:rsid w:val="00DB5DED"/>
    <w:rsid w:val="00DB77BF"/>
    <w:rsid w:val="00DC4129"/>
    <w:rsid w:val="00DD0D10"/>
    <w:rsid w:val="00DD1E6D"/>
    <w:rsid w:val="00DE5772"/>
    <w:rsid w:val="00DE63FD"/>
    <w:rsid w:val="00DE7CEE"/>
    <w:rsid w:val="00DF0740"/>
    <w:rsid w:val="00DF18A5"/>
    <w:rsid w:val="00DF2A30"/>
    <w:rsid w:val="00DF7D66"/>
    <w:rsid w:val="00E027F3"/>
    <w:rsid w:val="00E03B08"/>
    <w:rsid w:val="00E041DE"/>
    <w:rsid w:val="00E0458D"/>
    <w:rsid w:val="00E06C64"/>
    <w:rsid w:val="00E0723C"/>
    <w:rsid w:val="00E14491"/>
    <w:rsid w:val="00E14E49"/>
    <w:rsid w:val="00E23362"/>
    <w:rsid w:val="00E23C02"/>
    <w:rsid w:val="00E26B9E"/>
    <w:rsid w:val="00E27AA8"/>
    <w:rsid w:val="00E27D5B"/>
    <w:rsid w:val="00E31FC2"/>
    <w:rsid w:val="00E32C86"/>
    <w:rsid w:val="00E33B7D"/>
    <w:rsid w:val="00E55C46"/>
    <w:rsid w:val="00E66DD9"/>
    <w:rsid w:val="00E676C1"/>
    <w:rsid w:val="00E70E21"/>
    <w:rsid w:val="00E7119E"/>
    <w:rsid w:val="00E71F3B"/>
    <w:rsid w:val="00E754F0"/>
    <w:rsid w:val="00E8519E"/>
    <w:rsid w:val="00E86C8C"/>
    <w:rsid w:val="00E86CCF"/>
    <w:rsid w:val="00E877C6"/>
    <w:rsid w:val="00E9163B"/>
    <w:rsid w:val="00E94C8A"/>
    <w:rsid w:val="00E97B8E"/>
    <w:rsid w:val="00EA4A4E"/>
    <w:rsid w:val="00EA67F5"/>
    <w:rsid w:val="00EA6865"/>
    <w:rsid w:val="00EB4EA9"/>
    <w:rsid w:val="00EB7DA7"/>
    <w:rsid w:val="00EC1B32"/>
    <w:rsid w:val="00EC33B3"/>
    <w:rsid w:val="00ED353B"/>
    <w:rsid w:val="00ED564A"/>
    <w:rsid w:val="00ED797C"/>
    <w:rsid w:val="00EE1BDD"/>
    <w:rsid w:val="00EE50F0"/>
    <w:rsid w:val="00EE5E38"/>
    <w:rsid w:val="00EF378B"/>
    <w:rsid w:val="00EF4396"/>
    <w:rsid w:val="00EF50FB"/>
    <w:rsid w:val="00EF6116"/>
    <w:rsid w:val="00EF728E"/>
    <w:rsid w:val="00EF7848"/>
    <w:rsid w:val="00F03BF1"/>
    <w:rsid w:val="00F1037B"/>
    <w:rsid w:val="00F12927"/>
    <w:rsid w:val="00F12EE1"/>
    <w:rsid w:val="00F1723B"/>
    <w:rsid w:val="00F20414"/>
    <w:rsid w:val="00F23388"/>
    <w:rsid w:val="00F305E6"/>
    <w:rsid w:val="00F335F8"/>
    <w:rsid w:val="00F34EAF"/>
    <w:rsid w:val="00F36FBF"/>
    <w:rsid w:val="00F43F0E"/>
    <w:rsid w:val="00F4462E"/>
    <w:rsid w:val="00F44BAC"/>
    <w:rsid w:val="00F46EE4"/>
    <w:rsid w:val="00F47C08"/>
    <w:rsid w:val="00F47F61"/>
    <w:rsid w:val="00F5284A"/>
    <w:rsid w:val="00F5322E"/>
    <w:rsid w:val="00F5460A"/>
    <w:rsid w:val="00F5612F"/>
    <w:rsid w:val="00F61B4E"/>
    <w:rsid w:val="00F63155"/>
    <w:rsid w:val="00F65293"/>
    <w:rsid w:val="00F67A18"/>
    <w:rsid w:val="00F67F31"/>
    <w:rsid w:val="00F71816"/>
    <w:rsid w:val="00F7284A"/>
    <w:rsid w:val="00F7496C"/>
    <w:rsid w:val="00F87126"/>
    <w:rsid w:val="00F901E4"/>
    <w:rsid w:val="00F9141C"/>
    <w:rsid w:val="00F938E7"/>
    <w:rsid w:val="00F9458C"/>
    <w:rsid w:val="00F96E72"/>
    <w:rsid w:val="00FA00EB"/>
    <w:rsid w:val="00FA08A6"/>
    <w:rsid w:val="00FA10D1"/>
    <w:rsid w:val="00FA59D5"/>
    <w:rsid w:val="00FB0FD9"/>
    <w:rsid w:val="00FB509C"/>
    <w:rsid w:val="00FB61D1"/>
    <w:rsid w:val="00FC373C"/>
    <w:rsid w:val="00FC5CB5"/>
    <w:rsid w:val="00FC7289"/>
    <w:rsid w:val="00FD188B"/>
    <w:rsid w:val="00FD24F2"/>
    <w:rsid w:val="00FD28B1"/>
    <w:rsid w:val="00FE30D6"/>
    <w:rsid w:val="00FE3786"/>
    <w:rsid w:val="00FE54B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B377C6-2645-49D3-93A8-6C8542171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8A5"/>
    <w:pPr>
      <w:spacing w:after="0" w:line="240" w:lineRule="auto"/>
    </w:pPr>
    <w:rPr>
      <w:rFonts w:ascii="Times New Roman" w:eastAsia="Times New Roman" w:hAnsi="Times New Roman" w:cs="Times New Roman"/>
      <w:sz w:val="24"/>
      <w:szCs w:val="24"/>
      <w:lang w:val="en-AU" w:eastAsia="en-AU"/>
    </w:rPr>
  </w:style>
  <w:style w:type="paragraph" w:styleId="Heading1">
    <w:name w:val="heading 1"/>
    <w:basedOn w:val="Normal"/>
    <w:next w:val="Normal"/>
    <w:link w:val="Heading1Char"/>
    <w:uiPriority w:val="9"/>
    <w:qFormat/>
    <w:rsid w:val="00FC373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C373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C373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73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C373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C373C"/>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FC373C"/>
    <w:pPr>
      <w:ind w:left="720"/>
      <w:contextualSpacing/>
    </w:pPr>
  </w:style>
  <w:style w:type="paragraph" w:styleId="FootnoteText">
    <w:name w:val="footnote text"/>
    <w:basedOn w:val="Normal"/>
    <w:link w:val="FootnoteTextChar"/>
    <w:uiPriority w:val="99"/>
    <w:semiHidden/>
    <w:unhideWhenUsed/>
    <w:rsid w:val="006127B0"/>
    <w:rPr>
      <w:sz w:val="20"/>
      <w:szCs w:val="20"/>
    </w:rPr>
  </w:style>
  <w:style w:type="character" w:customStyle="1" w:styleId="FootnoteTextChar">
    <w:name w:val="Footnote Text Char"/>
    <w:basedOn w:val="DefaultParagraphFont"/>
    <w:link w:val="FootnoteText"/>
    <w:uiPriority w:val="99"/>
    <w:semiHidden/>
    <w:rsid w:val="006127B0"/>
    <w:rPr>
      <w:sz w:val="20"/>
      <w:szCs w:val="20"/>
    </w:rPr>
  </w:style>
  <w:style w:type="character" w:styleId="FootnoteReference">
    <w:name w:val="footnote reference"/>
    <w:basedOn w:val="DefaultParagraphFont"/>
    <w:uiPriority w:val="99"/>
    <w:semiHidden/>
    <w:unhideWhenUsed/>
    <w:rsid w:val="006127B0"/>
    <w:rPr>
      <w:vertAlign w:val="superscript"/>
    </w:rPr>
  </w:style>
  <w:style w:type="table" w:customStyle="1" w:styleId="TableGridLight1">
    <w:name w:val="Table Grid Light1"/>
    <w:basedOn w:val="TableNormal"/>
    <w:uiPriority w:val="40"/>
    <w:rsid w:val="006127B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BC2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04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434"/>
    <w:rPr>
      <w:rFonts w:ascii="Segoe UI" w:hAnsi="Segoe UI" w:cs="Segoe UI"/>
      <w:sz w:val="18"/>
      <w:szCs w:val="18"/>
    </w:rPr>
  </w:style>
  <w:style w:type="table" w:customStyle="1" w:styleId="TableGrid1">
    <w:name w:val="Table Grid1"/>
    <w:basedOn w:val="TableNormal"/>
    <w:next w:val="TableGrid"/>
    <w:uiPriority w:val="39"/>
    <w:rsid w:val="00C20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20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01B5"/>
    <w:pPr>
      <w:tabs>
        <w:tab w:val="center" w:pos="4680"/>
        <w:tab w:val="right" w:pos="9360"/>
      </w:tabs>
    </w:pPr>
  </w:style>
  <w:style w:type="character" w:customStyle="1" w:styleId="HeaderChar">
    <w:name w:val="Header Char"/>
    <w:basedOn w:val="DefaultParagraphFont"/>
    <w:link w:val="Header"/>
    <w:uiPriority w:val="99"/>
    <w:rsid w:val="00C201B5"/>
  </w:style>
  <w:style w:type="paragraph" w:styleId="Footer">
    <w:name w:val="footer"/>
    <w:basedOn w:val="Normal"/>
    <w:link w:val="FooterChar"/>
    <w:uiPriority w:val="99"/>
    <w:unhideWhenUsed/>
    <w:rsid w:val="00C201B5"/>
    <w:pPr>
      <w:tabs>
        <w:tab w:val="center" w:pos="4680"/>
        <w:tab w:val="right" w:pos="9360"/>
      </w:tabs>
    </w:pPr>
  </w:style>
  <w:style w:type="character" w:customStyle="1" w:styleId="FooterChar">
    <w:name w:val="Footer Char"/>
    <w:basedOn w:val="DefaultParagraphFont"/>
    <w:link w:val="Footer"/>
    <w:uiPriority w:val="99"/>
    <w:rsid w:val="00C201B5"/>
  </w:style>
  <w:style w:type="table" w:customStyle="1" w:styleId="TableGrid3">
    <w:name w:val="Table Grid3"/>
    <w:basedOn w:val="TableNormal"/>
    <w:next w:val="TableGrid"/>
    <w:uiPriority w:val="39"/>
    <w:rsid w:val="00C20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D6E5D"/>
    <w:pPr>
      <w:outlineLvl w:val="9"/>
    </w:pPr>
  </w:style>
  <w:style w:type="paragraph" w:styleId="TOC2">
    <w:name w:val="toc 2"/>
    <w:basedOn w:val="Normal"/>
    <w:next w:val="Normal"/>
    <w:autoRedefine/>
    <w:uiPriority w:val="39"/>
    <w:unhideWhenUsed/>
    <w:rsid w:val="005D6E5D"/>
    <w:pPr>
      <w:spacing w:after="100"/>
      <w:ind w:left="220"/>
    </w:pPr>
    <w:rPr>
      <w:rFonts w:eastAsiaTheme="minorEastAsia"/>
    </w:rPr>
  </w:style>
  <w:style w:type="paragraph" w:styleId="TOC1">
    <w:name w:val="toc 1"/>
    <w:basedOn w:val="Normal"/>
    <w:next w:val="Normal"/>
    <w:autoRedefine/>
    <w:uiPriority w:val="39"/>
    <w:unhideWhenUsed/>
    <w:rsid w:val="005D6E5D"/>
    <w:pPr>
      <w:spacing w:after="100"/>
    </w:pPr>
    <w:rPr>
      <w:rFonts w:eastAsiaTheme="minorEastAsia"/>
    </w:rPr>
  </w:style>
  <w:style w:type="paragraph" w:styleId="TOC3">
    <w:name w:val="toc 3"/>
    <w:basedOn w:val="Normal"/>
    <w:next w:val="Normal"/>
    <w:autoRedefine/>
    <w:uiPriority w:val="39"/>
    <w:unhideWhenUsed/>
    <w:rsid w:val="005D6E5D"/>
    <w:pPr>
      <w:spacing w:after="100"/>
      <w:ind w:left="440"/>
    </w:pPr>
    <w:rPr>
      <w:rFonts w:eastAsiaTheme="minorEastAsia"/>
    </w:rPr>
  </w:style>
  <w:style w:type="character" w:styleId="Hyperlink">
    <w:name w:val="Hyperlink"/>
    <w:basedOn w:val="DefaultParagraphFont"/>
    <w:uiPriority w:val="99"/>
    <w:unhideWhenUsed/>
    <w:rsid w:val="005D6E5D"/>
    <w:rPr>
      <w:color w:val="0000FF" w:themeColor="hyperlink"/>
      <w:u w:val="single"/>
    </w:rPr>
  </w:style>
  <w:style w:type="table" w:customStyle="1" w:styleId="GridTable1Light-Accent51">
    <w:name w:val="Grid Table 1 Light - Accent 51"/>
    <w:basedOn w:val="TableNormal"/>
    <w:uiPriority w:val="46"/>
    <w:rsid w:val="009D61E9"/>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B2B33"/>
    <w:rPr>
      <w:sz w:val="16"/>
      <w:szCs w:val="16"/>
    </w:rPr>
  </w:style>
  <w:style w:type="paragraph" w:styleId="CommentText">
    <w:name w:val="annotation text"/>
    <w:basedOn w:val="Normal"/>
    <w:link w:val="CommentTextChar"/>
    <w:uiPriority w:val="99"/>
    <w:semiHidden/>
    <w:unhideWhenUsed/>
    <w:rsid w:val="00DB2B33"/>
    <w:rPr>
      <w:sz w:val="20"/>
      <w:szCs w:val="20"/>
    </w:rPr>
  </w:style>
  <w:style w:type="character" w:customStyle="1" w:styleId="CommentTextChar">
    <w:name w:val="Comment Text Char"/>
    <w:basedOn w:val="DefaultParagraphFont"/>
    <w:link w:val="CommentText"/>
    <w:uiPriority w:val="99"/>
    <w:semiHidden/>
    <w:rsid w:val="00DB2B33"/>
    <w:rPr>
      <w:sz w:val="20"/>
      <w:szCs w:val="20"/>
    </w:rPr>
  </w:style>
  <w:style w:type="paragraph" w:styleId="CommentSubject">
    <w:name w:val="annotation subject"/>
    <w:basedOn w:val="CommentText"/>
    <w:next w:val="CommentText"/>
    <w:link w:val="CommentSubjectChar"/>
    <w:uiPriority w:val="99"/>
    <w:semiHidden/>
    <w:unhideWhenUsed/>
    <w:rsid w:val="00DB2B33"/>
    <w:rPr>
      <w:b/>
      <w:bCs/>
    </w:rPr>
  </w:style>
  <w:style w:type="character" w:customStyle="1" w:styleId="CommentSubjectChar">
    <w:name w:val="Comment Subject Char"/>
    <w:basedOn w:val="CommentTextChar"/>
    <w:link w:val="CommentSubject"/>
    <w:uiPriority w:val="99"/>
    <w:semiHidden/>
    <w:rsid w:val="00DB2B33"/>
    <w:rPr>
      <w:b/>
      <w:bCs/>
      <w:sz w:val="20"/>
      <w:szCs w:val="20"/>
    </w:rPr>
  </w:style>
  <w:style w:type="paragraph" w:styleId="Revision">
    <w:name w:val="Revision"/>
    <w:hidden/>
    <w:uiPriority w:val="99"/>
    <w:semiHidden/>
    <w:rsid w:val="00DB2B33"/>
    <w:pPr>
      <w:spacing w:after="0" w:line="240" w:lineRule="auto"/>
    </w:pPr>
  </w:style>
  <w:style w:type="paragraph" w:styleId="EndnoteText">
    <w:name w:val="endnote text"/>
    <w:basedOn w:val="Normal"/>
    <w:link w:val="EndnoteTextChar"/>
    <w:uiPriority w:val="99"/>
    <w:semiHidden/>
    <w:unhideWhenUsed/>
    <w:rsid w:val="00E23C02"/>
    <w:rPr>
      <w:sz w:val="20"/>
      <w:szCs w:val="20"/>
    </w:rPr>
  </w:style>
  <w:style w:type="character" w:customStyle="1" w:styleId="EndnoteTextChar">
    <w:name w:val="Endnote Text Char"/>
    <w:basedOn w:val="DefaultParagraphFont"/>
    <w:link w:val="EndnoteText"/>
    <w:uiPriority w:val="99"/>
    <w:semiHidden/>
    <w:rsid w:val="00E23C02"/>
    <w:rPr>
      <w:sz w:val="20"/>
      <w:szCs w:val="20"/>
    </w:rPr>
  </w:style>
  <w:style w:type="character" w:styleId="EndnoteReference">
    <w:name w:val="endnote reference"/>
    <w:basedOn w:val="DefaultParagraphFont"/>
    <w:uiPriority w:val="99"/>
    <w:semiHidden/>
    <w:unhideWhenUsed/>
    <w:rsid w:val="00E23C02"/>
    <w:rPr>
      <w:vertAlign w:val="superscript"/>
    </w:rPr>
  </w:style>
  <w:style w:type="paragraph" w:styleId="NoSpacing">
    <w:name w:val="No Spacing"/>
    <w:link w:val="NoSpacingChar"/>
    <w:uiPriority w:val="1"/>
    <w:qFormat/>
    <w:rsid w:val="00A90E99"/>
    <w:pPr>
      <w:spacing w:after="0" w:line="240" w:lineRule="auto"/>
    </w:pPr>
  </w:style>
  <w:style w:type="paragraph" w:styleId="Caption">
    <w:name w:val="caption"/>
    <w:basedOn w:val="Normal"/>
    <w:next w:val="Normal"/>
    <w:uiPriority w:val="35"/>
    <w:unhideWhenUsed/>
    <w:qFormat/>
    <w:rsid w:val="00A90E99"/>
    <w:pPr>
      <w:spacing w:after="200"/>
    </w:pPr>
    <w:rPr>
      <w:b/>
      <w:bCs/>
      <w:color w:val="4F81BD" w:themeColor="accent1"/>
      <w:sz w:val="18"/>
      <w:szCs w:val="18"/>
    </w:rPr>
  </w:style>
  <w:style w:type="paragraph" w:styleId="Title">
    <w:name w:val="Title"/>
    <w:basedOn w:val="Normal"/>
    <w:next w:val="Normal"/>
    <w:link w:val="TitleChar"/>
    <w:uiPriority w:val="10"/>
    <w:qFormat/>
    <w:rsid w:val="007F6C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6C5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F6C5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F6C59"/>
    <w:rPr>
      <w:rFonts w:asciiTheme="majorHAnsi" w:eastAsiaTheme="majorEastAsia" w:hAnsiTheme="majorHAnsi" w:cstheme="majorBidi"/>
      <w:i/>
      <w:iCs/>
      <w:color w:val="4F81BD" w:themeColor="accent1"/>
      <w:spacing w:val="15"/>
      <w:sz w:val="24"/>
      <w:szCs w:val="24"/>
    </w:rPr>
  </w:style>
  <w:style w:type="character" w:customStyle="1" w:styleId="NoSpacingChar">
    <w:name w:val="No Spacing Char"/>
    <w:basedOn w:val="DefaultParagraphFont"/>
    <w:link w:val="NoSpacing"/>
    <w:uiPriority w:val="1"/>
    <w:rsid w:val="00277748"/>
  </w:style>
  <w:style w:type="table" w:customStyle="1" w:styleId="GridTable3-Accent31">
    <w:name w:val="Grid Table 3 - Accent 31"/>
    <w:basedOn w:val="TableNormal"/>
    <w:uiPriority w:val="48"/>
    <w:rsid w:val="00D42087"/>
    <w:pPr>
      <w:spacing w:before="120" w:after="0" w:line="240" w:lineRule="auto"/>
    </w:pPr>
    <w:rPr>
      <w:color w:val="595959" w:themeColor="text1" w:themeTint="A6"/>
      <w:sz w:val="24"/>
      <w:szCs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5564">
      <w:bodyDiv w:val="1"/>
      <w:marLeft w:val="0"/>
      <w:marRight w:val="0"/>
      <w:marTop w:val="0"/>
      <w:marBottom w:val="0"/>
      <w:divBdr>
        <w:top w:val="none" w:sz="0" w:space="0" w:color="auto"/>
        <w:left w:val="none" w:sz="0" w:space="0" w:color="auto"/>
        <w:bottom w:val="none" w:sz="0" w:space="0" w:color="auto"/>
        <w:right w:val="none" w:sz="0" w:space="0" w:color="auto"/>
      </w:divBdr>
    </w:div>
    <w:div w:id="47263255">
      <w:bodyDiv w:val="1"/>
      <w:marLeft w:val="0"/>
      <w:marRight w:val="0"/>
      <w:marTop w:val="0"/>
      <w:marBottom w:val="0"/>
      <w:divBdr>
        <w:top w:val="none" w:sz="0" w:space="0" w:color="auto"/>
        <w:left w:val="none" w:sz="0" w:space="0" w:color="auto"/>
        <w:bottom w:val="none" w:sz="0" w:space="0" w:color="auto"/>
        <w:right w:val="none" w:sz="0" w:space="0" w:color="auto"/>
      </w:divBdr>
    </w:div>
    <w:div w:id="131294964">
      <w:bodyDiv w:val="1"/>
      <w:marLeft w:val="0"/>
      <w:marRight w:val="0"/>
      <w:marTop w:val="0"/>
      <w:marBottom w:val="0"/>
      <w:divBdr>
        <w:top w:val="none" w:sz="0" w:space="0" w:color="auto"/>
        <w:left w:val="none" w:sz="0" w:space="0" w:color="auto"/>
        <w:bottom w:val="none" w:sz="0" w:space="0" w:color="auto"/>
        <w:right w:val="none" w:sz="0" w:space="0" w:color="auto"/>
      </w:divBdr>
    </w:div>
    <w:div w:id="166791461">
      <w:bodyDiv w:val="1"/>
      <w:marLeft w:val="0"/>
      <w:marRight w:val="0"/>
      <w:marTop w:val="0"/>
      <w:marBottom w:val="0"/>
      <w:divBdr>
        <w:top w:val="none" w:sz="0" w:space="0" w:color="auto"/>
        <w:left w:val="none" w:sz="0" w:space="0" w:color="auto"/>
        <w:bottom w:val="none" w:sz="0" w:space="0" w:color="auto"/>
        <w:right w:val="none" w:sz="0" w:space="0" w:color="auto"/>
      </w:divBdr>
    </w:div>
    <w:div w:id="200289908">
      <w:bodyDiv w:val="1"/>
      <w:marLeft w:val="0"/>
      <w:marRight w:val="0"/>
      <w:marTop w:val="0"/>
      <w:marBottom w:val="0"/>
      <w:divBdr>
        <w:top w:val="none" w:sz="0" w:space="0" w:color="auto"/>
        <w:left w:val="none" w:sz="0" w:space="0" w:color="auto"/>
        <w:bottom w:val="none" w:sz="0" w:space="0" w:color="auto"/>
        <w:right w:val="none" w:sz="0" w:space="0" w:color="auto"/>
      </w:divBdr>
    </w:div>
    <w:div w:id="265313827">
      <w:bodyDiv w:val="1"/>
      <w:marLeft w:val="0"/>
      <w:marRight w:val="0"/>
      <w:marTop w:val="0"/>
      <w:marBottom w:val="0"/>
      <w:divBdr>
        <w:top w:val="none" w:sz="0" w:space="0" w:color="auto"/>
        <w:left w:val="none" w:sz="0" w:space="0" w:color="auto"/>
        <w:bottom w:val="none" w:sz="0" w:space="0" w:color="auto"/>
        <w:right w:val="none" w:sz="0" w:space="0" w:color="auto"/>
      </w:divBdr>
    </w:div>
    <w:div w:id="310523995">
      <w:bodyDiv w:val="1"/>
      <w:marLeft w:val="0"/>
      <w:marRight w:val="0"/>
      <w:marTop w:val="0"/>
      <w:marBottom w:val="0"/>
      <w:divBdr>
        <w:top w:val="none" w:sz="0" w:space="0" w:color="auto"/>
        <w:left w:val="none" w:sz="0" w:space="0" w:color="auto"/>
        <w:bottom w:val="none" w:sz="0" w:space="0" w:color="auto"/>
        <w:right w:val="none" w:sz="0" w:space="0" w:color="auto"/>
      </w:divBdr>
    </w:div>
    <w:div w:id="380203969">
      <w:bodyDiv w:val="1"/>
      <w:marLeft w:val="0"/>
      <w:marRight w:val="0"/>
      <w:marTop w:val="0"/>
      <w:marBottom w:val="0"/>
      <w:divBdr>
        <w:top w:val="none" w:sz="0" w:space="0" w:color="auto"/>
        <w:left w:val="none" w:sz="0" w:space="0" w:color="auto"/>
        <w:bottom w:val="none" w:sz="0" w:space="0" w:color="auto"/>
        <w:right w:val="none" w:sz="0" w:space="0" w:color="auto"/>
      </w:divBdr>
    </w:div>
    <w:div w:id="381948871">
      <w:bodyDiv w:val="1"/>
      <w:marLeft w:val="0"/>
      <w:marRight w:val="0"/>
      <w:marTop w:val="0"/>
      <w:marBottom w:val="0"/>
      <w:divBdr>
        <w:top w:val="none" w:sz="0" w:space="0" w:color="auto"/>
        <w:left w:val="none" w:sz="0" w:space="0" w:color="auto"/>
        <w:bottom w:val="none" w:sz="0" w:space="0" w:color="auto"/>
        <w:right w:val="none" w:sz="0" w:space="0" w:color="auto"/>
      </w:divBdr>
    </w:div>
    <w:div w:id="400832259">
      <w:bodyDiv w:val="1"/>
      <w:marLeft w:val="0"/>
      <w:marRight w:val="0"/>
      <w:marTop w:val="0"/>
      <w:marBottom w:val="0"/>
      <w:divBdr>
        <w:top w:val="none" w:sz="0" w:space="0" w:color="auto"/>
        <w:left w:val="none" w:sz="0" w:space="0" w:color="auto"/>
        <w:bottom w:val="none" w:sz="0" w:space="0" w:color="auto"/>
        <w:right w:val="none" w:sz="0" w:space="0" w:color="auto"/>
      </w:divBdr>
    </w:div>
    <w:div w:id="423261490">
      <w:bodyDiv w:val="1"/>
      <w:marLeft w:val="0"/>
      <w:marRight w:val="0"/>
      <w:marTop w:val="0"/>
      <w:marBottom w:val="0"/>
      <w:divBdr>
        <w:top w:val="none" w:sz="0" w:space="0" w:color="auto"/>
        <w:left w:val="none" w:sz="0" w:space="0" w:color="auto"/>
        <w:bottom w:val="none" w:sz="0" w:space="0" w:color="auto"/>
        <w:right w:val="none" w:sz="0" w:space="0" w:color="auto"/>
      </w:divBdr>
    </w:div>
    <w:div w:id="437025010">
      <w:bodyDiv w:val="1"/>
      <w:marLeft w:val="0"/>
      <w:marRight w:val="0"/>
      <w:marTop w:val="0"/>
      <w:marBottom w:val="0"/>
      <w:divBdr>
        <w:top w:val="none" w:sz="0" w:space="0" w:color="auto"/>
        <w:left w:val="none" w:sz="0" w:space="0" w:color="auto"/>
        <w:bottom w:val="none" w:sz="0" w:space="0" w:color="auto"/>
        <w:right w:val="none" w:sz="0" w:space="0" w:color="auto"/>
      </w:divBdr>
    </w:div>
    <w:div w:id="523250727">
      <w:bodyDiv w:val="1"/>
      <w:marLeft w:val="0"/>
      <w:marRight w:val="0"/>
      <w:marTop w:val="0"/>
      <w:marBottom w:val="0"/>
      <w:divBdr>
        <w:top w:val="none" w:sz="0" w:space="0" w:color="auto"/>
        <w:left w:val="none" w:sz="0" w:space="0" w:color="auto"/>
        <w:bottom w:val="none" w:sz="0" w:space="0" w:color="auto"/>
        <w:right w:val="none" w:sz="0" w:space="0" w:color="auto"/>
      </w:divBdr>
    </w:div>
    <w:div w:id="546141631">
      <w:bodyDiv w:val="1"/>
      <w:marLeft w:val="0"/>
      <w:marRight w:val="0"/>
      <w:marTop w:val="0"/>
      <w:marBottom w:val="0"/>
      <w:divBdr>
        <w:top w:val="none" w:sz="0" w:space="0" w:color="auto"/>
        <w:left w:val="none" w:sz="0" w:space="0" w:color="auto"/>
        <w:bottom w:val="none" w:sz="0" w:space="0" w:color="auto"/>
        <w:right w:val="none" w:sz="0" w:space="0" w:color="auto"/>
      </w:divBdr>
    </w:div>
    <w:div w:id="563295654">
      <w:bodyDiv w:val="1"/>
      <w:marLeft w:val="0"/>
      <w:marRight w:val="0"/>
      <w:marTop w:val="0"/>
      <w:marBottom w:val="0"/>
      <w:divBdr>
        <w:top w:val="none" w:sz="0" w:space="0" w:color="auto"/>
        <w:left w:val="none" w:sz="0" w:space="0" w:color="auto"/>
        <w:bottom w:val="none" w:sz="0" w:space="0" w:color="auto"/>
        <w:right w:val="none" w:sz="0" w:space="0" w:color="auto"/>
      </w:divBdr>
    </w:div>
    <w:div w:id="643701324">
      <w:bodyDiv w:val="1"/>
      <w:marLeft w:val="0"/>
      <w:marRight w:val="0"/>
      <w:marTop w:val="0"/>
      <w:marBottom w:val="0"/>
      <w:divBdr>
        <w:top w:val="none" w:sz="0" w:space="0" w:color="auto"/>
        <w:left w:val="none" w:sz="0" w:space="0" w:color="auto"/>
        <w:bottom w:val="none" w:sz="0" w:space="0" w:color="auto"/>
        <w:right w:val="none" w:sz="0" w:space="0" w:color="auto"/>
      </w:divBdr>
    </w:div>
    <w:div w:id="647250172">
      <w:bodyDiv w:val="1"/>
      <w:marLeft w:val="0"/>
      <w:marRight w:val="0"/>
      <w:marTop w:val="0"/>
      <w:marBottom w:val="0"/>
      <w:divBdr>
        <w:top w:val="none" w:sz="0" w:space="0" w:color="auto"/>
        <w:left w:val="none" w:sz="0" w:space="0" w:color="auto"/>
        <w:bottom w:val="none" w:sz="0" w:space="0" w:color="auto"/>
        <w:right w:val="none" w:sz="0" w:space="0" w:color="auto"/>
      </w:divBdr>
    </w:div>
    <w:div w:id="658921553">
      <w:bodyDiv w:val="1"/>
      <w:marLeft w:val="0"/>
      <w:marRight w:val="0"/>
      <w:marTop w:val="0"/>
      <w:marBottom w:val="0"/>
      <w:divBdr>
        <w:top w:val="none" w:sz="0" w:space="0" w:color="auto"/>
        <w:left w:val="none" w:sz="0" w:space="0" w:color="auto"/>
        <w:bottom w:val="none" w:sz="0" w:space="0" w:color="auto"/>
        <w:right w:val="none" w:sz="0" w:space="0" w:color="auto"/>
      </w:divBdr>
    </w:div>
    <w:div w:id="689185105">
      <w:bodyDiv w:val="1"/>
      <w:marLeft w:val="0"/>
      <w:marRight w:val="0"/>
      <w:marTop w:val="0"/>
      <w:marBottom w:val="0"/>
      <w:divBdr>
        <w:top w:val="none" w:sz="0" w:space="0" w:color="auto"/>
        <w:left w:val="none" w:sz="0" w:space="0" w:color="auto"/>
        <w:bottom w:val="none" w:sz="0" w:space="0" w:color="auto"/>
        <w:right w:val="none" w:sz="0" w:space="0" w:color="auto"/>
      </w:divBdr>
    </w:div>
    <w:div w:id="712383689">
      <w:bodyDiv w:val="1"/>
      <w:marLeft w:val="0"/>
      <w:marRight w:val="0"/>
      <w:marTop w:val="0"/>
      <w:marBottom w:val="0"/>
      <w:divBdr>
        <w:top w:val="none" w:sz="0" w:space="0" w:color="auto"/>
        <w:left w:val="none" w:sz="0" w:space="0" w:color="auto"/>
        <w:bottom w:val="none" w:sz="0" w:space="0" w:color="auto"/>
        <w:right w:val="none" w:sz="0" w:space="0" w:color="auto"/>
      </w:divBdr>
    </w:div>
    <w:div w:id="725563649">
      <w:bodyDiv w:val="1"/>
      <w:marLeft w:val="0"/>
      <w:marRight w:val="0"/>
      <w:marTop w:val="0"/>
      <w:marBottom w:val="0"/>
      <w:divBdr>
        <w:top w:val="none" w:sz="0" w:space="0" w:color="auto"/>
        <w:left w:val="none" w:sz="0" w:space="0" w:color="auto"/>
        <w:bottom w:val="none" w:sz="0" w:space="0" w:color="auto"/>
        <w:right w:val="none" w:sz="0" w:space="0" w:color="auto"/>
      </w:divBdr>
    </w:div>
    <w:div w:id="776027376">
      <w:bodyDiv w:val="1"/>
      <w:marLeft w:val="0"/>
      <w:marRight w:val="0"/>
      <w:marTop w:val="0"/>
      <w:marBottom w:val="0"/>
      <w:divBdr>
        <w:top w:val="none" w:sz="0" w:space="0" w:color="auto"/>
        <w:left w:val="none" w:sz="0" w:space="0" w:color="auto"/>
        <w:bottom w:val="none" w:sz="0" w:space="0" w:color="auto"/>
        <w:right w:val="none" w:sz="0" w:space="0" w:color="auto"/>
      </w:divBdr>
    </w:div>
    <w:div w:id="804738969">
      <w:bodyDiv w:val="1"/>
      <w:marLeft w:val="0"/>
      <w:marRight w:val="0"/>
      <w:marTop w:val="0"/>
      <w:marBottom w:val="0"/>
      <w:divBdr>
        <w:top w:val="none" w:sz="0" w:space="0" w:color="auto"/>
        <w:left w:val="none" w:sz="0" w:space="0" w:color="auto"/>
        <w:bottom w:val="none" w:sz="0" w:space="0" w:color="auto"/>
        <w:right w:val="none" w:sz="0" w:space="0" w:color="auto"/>
      </w:divBdr>
    </w:div>
    <w:div w:id="817107813">
      <w:bodyDiv w:val="1"/>
      <w:marLeft w:val="0"/>
      <w:marRight w:val="0"/>
      <w:marTop w:val="0"/>
      <w:marBottom w:val="0"/>
      <w:divBdr>
        <w:top w:val="none" w:sz="0" w:space="0" w:color="auto"/>
        <w:left w:val="none" w:sz="0" w:space="0" w:color="auto"/>
        <w:bottom w:val="none" w:sz="0" w:space="0" w:color="auto"/>
        <w:right w:val="none" w:sz="0" w:space="0" w:color="auto"/>
      </w:divBdr>
    </w:div>
    <w:div w:id="832372752">
      <w:bodyDiv w:val="1"/>
      <w:marLeft w:val="0"/>
      <w:marRight w:val="0"/>
      <w:marTop w:val="0"/>
      <w:marBottom w:val="0"/>
      <w:divBdr>
        <w:top w:val="none" w:sz="0" w:space="0" w:color="auto"/>
        <w:left w:val="none" w:sz="0" w:space="0" w:color="auto"/>
        <w:bottom w:val="none" w:sz="0" w:space="0" w:color="auto"/>
        <w:right w:val="none" w:sz="0" w:space="0" w:color="auto"/>
      </w:divBdr>
    </w:div>
    <w:div w:id="839075707">
      <w:bodyDiv w:val="1"/>
      <w:marLeft w:val="0"/>
      <w:marRight w:val="0"/>
      <w:marTop w:val="0"/>
      <w:marBottom w:val="0"/>
      <w:divBdr>
        <w:top w:val="none" w:sz="0" w:space="0" w:color="auto"/>
        <w:left w:val="none" w:sz="0" w:space="0" w:color="auto"/>
        <w:bottom w:val="none" w:sz="0" w:space="0" w:color="auto"/>
        <w:right w:val="none" w:sz="0" w:space="0" w:color="auto"/>
      </w:divBdr>
    </w:div>
    <w:div w:id="926883517">
      <w:bodyDiv w:val="1"/>
      <w:marLeft w:val="0"/>
      <w:marRight w:val="0"/>
      <w:marTop w:val="0"/>
      <w:marBottom w:val="0"/>
      <w:divBdr>
        <w:top w:val="none" w:sz="0" w:space="0" w:color="auto"/>
        <w:left w:val="none" w:sz="0" w:space="0" w:color="auto"/>
        <w:bottom w:val="none" w:sz="0" w:space="0" w:color="auto"/>
        <w:right w:val="none" w:sz="0" w:space="0" w:color="auto"/>
      </w:divBdr>
    </w:div>
    <w:div w:id="943460853">
      <w:bodyDiv w:val="1"/>
      <w:marLeft w:val="0"/>
      <w:marRight w:val="0"/>
      <w:marTop w:val="0"/>
      <w:marBottom w:val="0"/>
      <w:divBdr>
        <w:top w:val="none" w:sz="0" w:space="0" w:color="auto"/>
        <w:left w:val="none" w:sz="0" w:space="0" w:color="auto"/>
        <w:bottom w:val="none" w:sz="0" w:space="0" w:color="auto"/>
        <w:right w:val="none" w:sz="0" w:space="0" w:color="auto"/>
      </w:divBdr>
    </w:div>
    <w:div w:id="1023172575">
      <w:bodyDiv w:val="1"/>
      <w:marLeft w:val="0"/>
      <w:marRight w:val="0"/>
      <w:marTop w:val="0"/>
      <w:marBottom w:val="0"/>
      <w:divBdr>
        <w:top w:val="none" w:sz="0" w:space="0" w:color="auto"/>
        <w:left w:val="none" w:sz="0" w:space="0" w:color="auto"/>
        <w:bottom w:val="none" w:sz="0" w:space="0" w:color="auto"/>
        <w:right w:val="none" w:sz="0" w:space="0" w:color="auto"/>
      </w:divBdr>
    </w:div>
    <w:div w:id="1055196838">
      <w:bodyDiv w:val="1"/>
      <w:marLeft w:val="0"/>
      <w:marRight w:val="0"/>
      <w:marTop w:val="0"/>
      <w:marBottom w:val="0"/>
      <w:divBdr>
        <w:top w:val="none" w:sz="0" w:space="0" w:color="auto"/>
        <w:left w:val="none" w:sz="0" w:space="0" w:color="auto"/>
        <w:bottom w:val="none" w:sz="0" w:space="0" w:color="auto"/>
        <w:right w:val="none" w:sz="0" w:space="0" w:color="auto"/>
      </w:divBdr>
    </w:div>
    <w:div w:id="1071655406">
      <w:bodyDiv w:val="1"/>
      <w:marLeft w:val="0"/>
      <w:marRight w:val="0"/>
      <w:marTop w:val="0"/>
      <w:marBottom w:val="0"/>
      <w:divBdr>
        <w:top w:val="none" w:sz="0" w:space="0" w:color="auto"/>
        <w:left w:val="none" w:sz="0" w:space="0" w:color="auto"/>
        <w:bottom w:val="none" w:sz="0" w:space="0" w:color="auto"/>
        <w:right w:val="none" w:sz="0" w:space="0" w:color="auto"/>
      </w:divBdr>
    </w:div>
    <w:div w:id="1135443319">
      <w:bodyDiv w:val="1"/>
      <w:marLeft w:val="0"/>
      <w:marRight w:val="0"/>
      <w:marTop w:val="0"/>
      <w:marBottom w:val="0"/>
      <w:divBdr>
        <w:top w:val="none" w:sz="0" w:space="0" w:color="auto"/>
        <w:left w:val="none" w:sz="0" w:space="0" w:color="auto"/>
        <w:bottom w:val="none" w:sz="0" w:space="0" w:color="auto"/>
        <w:right w:val="none" w:sz="0" w:space="0" w:color="auto"/>
      </w:divBdr>
    </w:div>
    <w:div w:id="1139762083">
      <w:bodyDiv w:val="1"/>
      <w:marLeft w:val="0"/>
      <w:marRight w:val="0"/>
      <w:marTop w:val="0"/>
      <w:marBottom w:val="0"/>
      <w:divBdr>
        <w:top w:val="none" w:sz="0" w:space="0" w:color="auto"/>
        <w:left w:val="none" w:sz="0" w:space="0" w:color="auto"/>
        <w:bottom w:val="none" w:sz="0" w:space="0" w:color="auto"/>
        <w:right w:val="none" w:sz="0" w:space="0" w:color="auto"/>
      </w:divBdr>
    </w:div>
    <w:div w:id="1148399702">
      <w:bodyDiv w:val="1"/>
      <w:marLeft w:val="0"/>
      <w:marRight w:val="0"/>
      <w:marTop w:val="0"/>
      <w:marBottom w:val="0"/>
      <w:divBdr>
        <w:top w:val="none" w:sz="0" w:space="0" w:color="auto"/>
        <w:left w:val="none" w:sz="0" w:space="0" w:color="auto"/>
        <w:bottom w:val="none" w:sz="0" w:space="0" w:color="auto"/>
        <w:right w:val="none" w:sz="0" w:space="0" w:color="auto"/>
      </w:divBdr>
    </w:div>
    <w:div w:id="1284655588">
      <w:bodyDiv w:val="1"/>
      <w:marLeft w:val="0"/>
      <w:marRight w:val="0"/>
      <w:marTop w:val="0"/>
      <w:marBottom w:val="0"/>
      <w:divBdr>
        <w:top w:val="none" w:sz="0" w:space="0" w:color="auto"/>
        <w:left w:val="none" w:sz="0" w:space="0" w:color="auto"/>
        <w:bottom w:val="none" w:sz="0" w:space="0" w:color="auto"/>
        <w:right w:val="none" w:sz="0" w:space="0" w:color="auto"/>
      </w:divBdr>
    </w:div>
    <w:div w:id="1289386996">
      <w:bodyDiv w:val="1"/>
      <w:marLeft w:val="0"/>
      <w:marRight w:val="0"/>
      <w:marTop w:val="0"/>
      <w:marBottom w:val="0"/>
      <w:divBdr>
        <w:top w:val="none" w:sz="0" w:space="0" w:color="auto"/>
        <w:left w:val="none" w:sz="0" w:space="0" w:color="auto"/>
        <w:bottom w:val="none" w:sz="0" w:space="0" w:color="auto"/>
        <w:right w:val="none" w:sz="0" w:space="0" w:color="auto"/>
      </w:divBdr>
    </w:div>
    <w:div w:id="1295678561">
      <w:bodyDiv w:val="1"/>
      <w:marLeft w:val="0"/>
      <w:marRight w:val="0"/>
      <w:marTop w:val="0"/>
      <w:marBottom w:val="0"/>
      <w:divBdr>
        <w:top w:val="none" w:sz="0" w:space="0" w:color="auto"/>
        <w:left w:val="none" w:sz="0" w:space="0" w:color="auto"/>
        <w:bottom w:val="none" w:sz="0" w:space="0" w:color="auto"/>
        <w:right w:val="none" w:sz="0" w:space="0" w:color="auto"/>
      </w:divBdr>
    </w:div>
    <w:div w:id="1296713969">
      <w:bodyDiv w:val="1"/>
      <w:marLeft w:val="0"/>
      <w:marRight w:val="0"/>
      <w:marTop w:val="0"/>
      <w:marBottom w:val="0"/>
      <w:divBdr>
        <w:top w:val="none" w:sz="0" w:space="0" w:color="auto"/>
        <w:left w:val="none" w:sz="0" w:space="0" w:color="auto"/>
        <w:bottom w:val="none" w:sz="0" w:space="0" w:color="auto"/>
        <w:right w:val="none" w:sz="0" w:space="0" w:color="auto"/>
      </w:divBdr>
    </w:div>
    <w:div w:id="1314800447">
      <w:bodyDiv w:val="1"/>
      <w:marLeft w:val="0"/>
      <w:marRight w:val="0"/>
      <w:marTop w:val="0"/>
      <w:marBottom w:val="0"/>
      <w:divBdr>
        <w:top w:val="none" w:sz="0" w:space="0" w:color="auto"/>
        <w:left w:val="none" w:sz="0" w:space="0" w:color="auto"/>
        <w:bottom w:val="none" w:sz="0" w:space="0" w:color="auto"/>
        <w:right w:val="none" w:sz="0" w:space="0" w:color="auto"/>
      </w:divBdr>
    </w:div>
    <w:div w:id="1355301810">
      <w:bodyDiv w:val="1"/>
      <w:marLeft w:val="0"/>
      <w:marRight w:val="0"/>
      <w:marTop w:val="0"/>
      <w:marBottom w:val="0"/>
      <w:divBdr>
        <w:top w:val="none" w:sz="0" w:space="0" w:color="auto"/>
        <w:left w:val="none" w:sz="0" w:space="0" w:color="auto"/>
        <w:bottom w:val="none" w:sz="0" w:space="0" w:color="auto"/>
        <w:right w:val="none" w:sz="0" w:space="0" w:color="auto"/>
      </w:divBdr>
    </w:div>
    <w:div w:id="1516072061">
      <w:bodyDiv w:val="1"/>
      <w:marLeft w:val="0"/>
      <w:marRight w:val="0"/>
      <w:marTop w:val="0"/>
      <w:marBottom w:val="0"/>
      <w:divBdr>
        <w:top w:val="none" w:sz="0" w:space="0" w:color="auto"/>
        <w:left w:val="none" w:sz="0" w:space="0" w:color="auto"/>
        <w:bottom w:val="none" w:sz="0" w:space="0" w:color="auto"/>
        <w:right w:val="none" w:sz="0" w:space="0" w:color="auto"/>
      </w:divBdr>
    </w:div>
    <w:div w:id="1541819958">
      <w:bodyDiv w:val="1"/>
      <w:marLeft w:val="0"/>
      <w:marRight w:val="0"/>
      <w:marTop w:val="0"/>
      <w:marBottom w:val="0"/>
      <w:divBdr>
        <w:top w:val="none" w:sz="0" w:space="0" w:color="auto"/>
        <w:left w:val="none" w:sz="0" w:space="0" w:color="auto"/>
        <w:bottom w:val="none" w:sz="0" w:space="0" w:color="auto"/>
        <w:right w:val="none" w:sz="0" w:space="0" w:color="auto"/>
      </w:divBdr>
    </w:div>
    <w:div w:id="1563322030">
      <w:bodyDiv w:val="1"/>
      <w:marLeft w:val="0"/>
      <w:marRight w:val="0"/>
      <w:marTop w:val="0"/>
      <w:marBottom w:val="0"/>
      <w:divBdr>
        <w:top w:val="none" w:sz="0" w:space="0" w:color="auto"/>
        <w:left w:val="none" w:sz="0" w:space="0" w:color="auto"/>
        <w:bottom w:val="none" w:sz="0" w:space="0" w:color="auto"/>
        <w:right w:val="none" w:sz="0" w:space="0" w:color="auto"/>
      </w:divBdr>
    </w:div>
    <w:div w:id="1588616845">
      <w:bodyDiv w:val="1"/>
      <w:marLeft w:val="0"/>
      <w:marRight w:val="0"/>
      <w:marTop w:val="0"/>
      <w:marBottom w:val="0"/>
      <w:divBdr>
        <w:top w:val="none" w:sz="0" w:space="0" w:color="auto"/>
        <w:left w:val="none" w:sz="0" w:space="0" w:color="auto"/>
        <w:bottom w:val="none" w:sz="0" w:space="0" w:color="auto"/>
        <w:right w:val="none" w:sz="0" w:space="0" w:color="auto"/>
      </w:divBdr>
    </w:div>
    <w:div w:id="1626764692">
      <w:bodyDiv w:val="1"/>
      <w:marLeft w:val="0"/>
      <w:marRight w:val="0"/>
      <w:marTop w:val="0"/>
      <w:marBottom w:val="0"/>
      <w:divBdr>
        <w:top w:val="none" w:sz="0" w:space="0" w:color="auto"/>
        <w:left w:val="none" w:sz="0" w:space="0" w:color="auto"/>
        <w:bottom w:val="none" w:sz="0" w:space="0" w:color="auto"/>
        <w:right w:val="none" w:sz="0" w:space="0" w:color="auto"/>
      </w:divBdr>
    </w:div>
    <w:div w:id="1668285610">
      <w:bodyDiv w:val="1"/>
      <w:marLeft w:val="0"/>
      <w:marRight w:val="0"/>
      <w:marTop w:val="0"/>
      <w:marBottom w:val="0"/>
      <w:divBdr>
        <w:top w:val="none" w:sz="0" w:space="0" w:color="auto"/>
        <w:left w:val="none" w:sz="0" w:space="0" w:color="auto"/>
        <w:bottom w:val="none" w:sz="0" w:space="0" w:color="auto"/>
        <w:right w:val="none" w:sz="0" w:space="0" w:color="auto"/>
      </w:divBdr>
    </w:div>
    <w:div w:id="1848709083">
      <w:bodyDiv w:val="1"/>
      <w:marLeft w:val="0"/>
      <w:marRight w:val="0"/>
      <w:marTop w:val="0"/>
      <w:marBottom w:val="0"/>
      <w:divBdr>
        <w:top w:val="none" w:sz="0" w:space="0" w:color="auto"/>
        <w:left w:val="none" w:sz="0" w:space="0" w:color="auto"/>
        <w:bottom w:val="none" w:sz="0" w:space="0" w:color="auto"/>
        <w:right w:val="none" w:sz="0" w:space="0" w:color="auto"/>
      </w:divBdr>
    </w:div>
    <w:div w:id="1884948477">
      <w:bodyDiv w:val="1"/>
      <w:marLeft w:val="0"/>
      <w:marRight w:val="0"/>
      <w:marTop w:val="0"/>
      <w:marBottom w:val="0"/>
      <w:divBdr>
        <w:top w:val="none" w:sz="0" w:space="0" w:color="auto"/>
        <w:left w:val="none" w:sz="0" w:space="0" w:color="auto"/>
        <w:bottom w:val="none" w:sz="0" w:space="0" w:color="auto"/>
        <w:right w:val="none" w:sz="0" w:space="0" w:color="auto"/>
      </w:divBdr>
    </w:div>
    <w:div w:id="1893886561">
      <w:bodyDiv w:val="1"/>
      <w:marLeft w:val="0"/>
      <w:marRight w:val="0"/>
      <w:marTop w:val="0"/>
      <w:marBottom w:val="0"/>
      <w:divBdr>
        <w:top w:val="none" w:sz="0" w:space="0" w:color="auto"/>
        <w:left w:val="none" w:sz="0" w:space="0" w:color="auto"/>
        <w:bottom w:val="none" w:sz="0" w:space="0" w:color="auto"/>
        <w:right w:val="none" w:sz="0" w:space="0" w:color="auto"/>
      </w:divBdr>
    </w:div>
    <w:div w:id="1918055656">
      <w:bodyDiv w:val="1"/>
      <w:marLeft w:val="0"/>
      <w:marRight w:val="0"/>
      <w:marTop w:val="0"/>
      <w:marBottom w:val="0"/>
      <w:divBdr>
        <w:top w:val="none" w:sz="0" w:space="0" w:color="auto"/>
        <w:left w:val="none" w:sz="0" w:space="0" w:color="auto"/>
        <w:bottom w:val="none" w:sz="0" w:space="0" w:color="auto"/>
        <w:right w:val="none" w:sz="0" w:space="0" w:color="auto"/>
      </w:divBdr>
    </w:div>
    <w:div w:id="1980187192">
      <w:bodyDiv w:val="1"/>
      <w:marLeft w:val="0"/>
      <w:marRight w:val="0"/>
      <w:marTop w:val="0"/>
      <w:marBottom w:val="0"/>
      <w:divBdr>
        <w:top w:val="none" w:sz="0" w:space="0" w:color="auto"/>
        <w:left w:val="none" w:sz="0" w:space="0" w:color="auto"/>
        <w:bottom w:val="none" w:sz="0" w:space="0" w:color="auto"/>
        <w:right w:val="none" w:sz="0" w:space="0" w:color="auto"/>
      </w:divBdr>
    </w:div>
    <w:div w:id="1982031402">
      <w:bodyDiv w:val="1"/>
      <w:marLeft w:val="0"/>
      <w:marRight w:val="0"/>
      <w:marTop w:val="0"/>
      <w:marBottom w:val="0"/>
      <w:divBdr>
        <w:top w:val="none" w:sz="0" w:space="0" w:color="auto"/>
        <w:left w:val="none" w:sz="0" w:space="0" w:color="auto"/>
        <w:bottom w:val="none" w:sz="0" w:space="0" w:color="auto"/>
        <w:right w:val="none" w:sz="0" w:space="0" w:color="auto"/>
      </w:divBdr>
    </w:div>
    <w:div w:id="2035689226">
      <w:bodyDiv w:val="1"/>
      <w:marLeft w:val="0"/>
      <w:marRight w:val="0"/>
      <w:marTop w:val="0"/>
      <w:marBottom w:val="0"/>
      <w:divBdr>
        <w:top w:val="none" w:sz="0" w:space="0" w:color="auto"/>
        <w:left w:val="none" w:sz="0" w:space="0" w:color="auto"/>
        <w:bottom w:val="none" w:sz="0" w:space="0" w:color="auto"/>
        <w:right w:val="none" w:sz="0" w:space="0" w:color="auto"/>
      </w:divBdr>
    </w:div>
    <w:div w:id="2046834439">
      <w:bodyDiv w:val="1"/>
      <w:marLeft w:val="0"/>
      <w:marRight w:val="0"/>
      <w:marTop w:val="0"/>
      <w:marBottom w:val="0"/>
      <w:divBdr>
        <w:top w:val="none" w:sz="0" w:space="0" w:color="auto"/>
        <w:left w:val="none" w:sz="0" w:space="0" w:color="auto"/>
        <w:bottom w:val="none" w:sz="0" w:space="0" w:color="auto"/>
        <w:right w:val="none" w:sz="0" w:space="0" w:color="auto"/>
      </w:divBdr>
    </w:div>
    <w:div w:id="2078285078">
      <w:bodyDiv w:val="1"/>
      <w:marLeft w:val="0"/>
      <w:marRight w:val="0"/>
      <w:marTop w:val="0"/>
      <w:marBottom w:val="0"/>
      <w:divBdr>
        <w:top w:val="none" w:sz="0" w:space="0" w:color="auto"/>
        <w:left w:val="none" w:sz="0" w:space="0" w:color="auto"/>
        <w:bottom w:val="none" w:sz="0" w:space="0" w:color="auto"/>
        <w:right w:val="none" w:sz="0" w:space="0" w:color="auto"/>
      </w:divBdr>
    </w:div>
    <w:div w:id="2089646240">
      <w:bodyDiv w:val="1"/>
      <w:marLeft w:val="0"/>
      <w:marRight w:val="0"/>
      <w:marTop w:val="0"/>
      <w:marBottom w:val="0"/>
      <w:divBdr>
        <w:top w:val="none" w:sz="0" w:space="0" w:color="auto"/>
        <w:left w:val="none" w:sz="0" w:space="0" w:color="auto"/>
        <w:bottom w:val="none" w:sz="0" w:space="0" w:color="auto"/>
        <w:right w:val="none" w:sz="0" w:space="0" w:color="auto"/>
      </w:divBdr>
    </w:div>
    <w:div w:id="212862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C:\FRZ\GDIA%20Project%202019\Project%20Work\Sector%20Report\16052020_Data%20for%20the%20Sector%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FRZ\GDIA%20Project%202019\Project%20Work\Sector%20Report\16052020_Data%20for%20the%20Sector%20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FRZ\GDIA%20Project%202019\Project%20Work\Sector%20Report\16052020_Data%20for%20the%20Sector%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Market share of top 5 products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Products!$A$2</c:f>
              <c:strCache>
                <c:ptCount val="1"/>
                <c:pt idx="0">
                  <c:v>Travel Insurance</c:v>
                </c:pt>
              </c:strCache>
            </c:strRef>
          </c:tx>
          <c:invertIfNegative val="0"/>
          <c:cat>
            <c:numRef>
              <c:f>Products!$B$1:$D$1</c:f>
              <c:numCache>
                <c:formatCode>General</c:formatCode>
                <c:ptCount val="3"/>
                <c:pt idx="0">
                  <c:v>2017</c:v>
                </c:pt>
                <c:pt idx="1">
                  <c:v>2018</c:v>
                </c:pt>
                <c:pt idx="2">
                  <c:v>2019</c:v>
                </c:pt>
              </c:numCache>
            </c:numRef>
          </c:cat>
          <c:val>
            <c:numRef>
              <c:f>Products!$B$2:$D$2</c:f>
              <c:numCache>
                <c:formatCode>General</c:formatCode>
                <c:ptCount val="3"/>
                <c:pt idx="0">
                  <c:v>45.64</c:v>
                </c:pt>
                <c:pt idx="1">
                  <c:v>88.9</c:v>
                </c:pt>
                <c:pt idx="2">
                  <c:v>62.21</c:v>
                </c:pt>
              </c:numCache>
            </c:numRef>
          </c:val>
          <c:extLst xmlns:c16r2="http://schemas.microsoft.com/office/drawing/2015/06/chart">
            <c:ext xmlns:c16="http://schemas.microsoft.com/office/drawing/2014/chart" uri="{C3380CC4-5D6E-409C-BE32-E72D297353CC}">
              <c16:uniqueId val="{00000000-09B8-40C1-860B-6A47817807EF}"/>
            </c:ext>
          </c:extLst>
        </c:ser>
        <c:ser>
          <c:idx val="1"/>
          <c:order val="1"/>
          <c:tx>
            <c:strRef>
              <c:f>Products!$A$3</c:f>
              <c:strCache>
                <c:ptCount val="1"/>
                <c:pt idx="0">
                  <c:v>Motor Third Party Insurance</c:v>
                </c:pt>
              </c:strCache>
            </c:strRef>
          </c:tx>
          <c:invertIfNegative val="0"/>
          <c:cat>
            <c:numRef>
              <c:f>Products!$B$1:$D$1</c:f>
              <c:numCache>
                <c:formatCode>General</c:formatCode>
                <c:ptCount val="3"/>
                <c:pt idx="0">
                  <c:v>2017</c:v>
                </c:pt>
                <c:pt idx="1">
                  <c:v>2018</c:v>
                </c:pt>
                <c:pt idx="2">
                  <c:v>2019</c:v>
                </c:pt>
              </c:numCache>
            </c:numRef>
          </c:cat>
          <c:val>
            <c:numRef>
              <c:f>Products!$B$3:$D$3</c:f>
              <c:numCache>
                <c:formatCode>General</c:formatCode>
                <c:ptCount val="3"/>
                <c:pt idx="0">
                  <c:v>0</c:v>
                </c:pt>
                <c:pt idx="1">
                  <c:v>0</c:v>
                </c:pt>
                <c:pt idx="2">
                  <c:v>26.57</c:v>
                </c:pt>
              </c:numCache>
            </c:numRef>
          </c:val>
          <c:extLst xmlns:c16r2="http://schemas.microsoft.com/office/drawing/2015/06/chart">
            <c:ext xmlns:c16="http://schemas.microsoft.com/office/drawing/2014/chart" uri="{C3380CC4-5D6E-409C-BE32-E72D297353CC}">
              <c16:uniqueId val="{00000001-09B8-40C1-860B-6A47817807EF}"/>
            </c:ext>
          </c:extLst>
        </c:ser>
        <c:ser>
          <c:idx val="2"/>
          <c:order val="2"/>
          <c:tx>
            <c:strRef>
              <c:f>Products!$A$4</c:f>
              <c:strCache>
                <c:ptCount val="1"/>
                <c:pt idx="0">
                  <c:v>Fleet Motor Insurance</c:v>
                </c:pt>
              </c:strCache>
            </c:strRef>
          </c:tx>
          <c:invertIfNegative val="0"/>
          <c:cat>
            <c:numRef>
              <c:f>Products!$B$1:$D$1</c:f>
              <c:numCache>
                <c:formatCode>General</c:formatCode>
                <c:ptCount val="3"/>
                <c:pt idx="0">
                  <c:v>2017</c:v>
                </c:pt>
                <c:pt idx="1">
                  <c:v>2018</c:v>
                </c:pt>
                <c:pt idx="2">
                  <c:v>2019</c:v>
                </c:pt>
              </c:numCache>
            </c:numRef>
          </c:cat>
          <c:val>
            <c:numRef>
              <c:f>Products!$B$4:$D$4</c:f>
              <c:numCache>
                <c:formatCode>General</c:formatCode>
                <c:ptCount val="3"/>
                <c:pt idx="0">
                  <c:v>10.77</c:v>
                </c:pt>
                <c:pt idx="1">
                  <c:v>7.05</c:v>
                </c:pt>
                <c:pt idx="2">
                  <c:v>5.52</c:v>
                </c:pt>
              </c:numCache>
            </c:numRef>
          </c:val>
          <c:extLst xmlns:c16r2="http://schemas.microsoft.com/office/drawing/2015/06/chart">
            <c:ext xmlns:c16="http://schemas.microsoft.com/office/drawing/2014/chart" uri="{C3380CC4-5D6E-409C-BE32-E72D297353CC}">
              <c16:uniqueId val="{00000002-09B8-40C1-860B-6A47817807EF}"/>
            </c:ext>
          </c:extLst>
        </c:ser>
        <c:ser>
          <c:idx val="3"/>
          <c:order val="3"/>
          <c:tx>
            <c:strRef>
              <c:f>Products!$A$5</c:f>
              <c:strCache>
                <c:ptCount val="1"/>
                <c:pt idx="0">
                  <c:v>Project Third Party Liability</c:v>
                </c:pt>
              </c:strCache>
            </c:strRef>
          </c:tx>
          <c:invertIfNegative val="0"/>
          <c:cat>
            <c:numRef>
              <c:f>Products!$B$1:$D$1</c:f>
              <c:numCache>
                <c:formatCode>General</c:formatCode>
                <c:ptCount val="3"/>
                <c:pt idx="0">
                  <c:v>2017</c:v>
                </c:pt>
                <c:pt idx="1">
                  <c:v>2018</c:v>
                </c:pt>
                <c:pt idx="2">
                  <c:v>2019</c:v>
                </c:pt>
              </c:numCache>
            </c:numRef>
          </c:cat>
          <c:val>
            <c:numRef>
              <c:f>Products!$B$5:$D$5</c:f>
              <c:numCache>
                <c:formatCode>General</c:formatCode>
                <c:ptCount val="3"/>
                <c:pt idx="0">
                  <c:v>0</c:v>
                </c:pt>
                <c:pt idx="1">
                  <c:v>3.47</c:v>
                </c:pt>
                <c:pt idx="2">
                  <c:v>4.3899999999999997</c:v>
                </c:pt>
              </c:numCache>
            </c:numRef>
          </c:val>
          <c:extLst xmlns:c16r2="http://schemas.microsoft.com/office/drawing/2015/06/chart">
            <c:ext xmlns:c16="http://schemas.microsoft.com/office/drawing/2014/chart" uri="{C3380CC4-5D6E-409C-BE32-E72D297353CC}">
              <c16:uniqueId val="{00000003-09B8-40C1-860B-6A47817807EF}"/>
            </c:ext>
          </c:extLst>
        </c:ser>
        <c:ser>
          <c:idx val="4"/>
          <c:order val="4"/>
          <c:tx>
            <c:strRef>
              <c:f>Products!$A$6</c:f>
              <c:strCache>
                <c:ptCount val="1"/>
                <c:pt idx="0">
                  <c:v>Aviation</c:v>
                </c:pt>
              </c:strCache>
            </c:strRef>
          </c:tx>
          <c:invertIfNegative val="0"/>
          <c:cat>
            <c:numRef>
              <c:f>Products!$B$1:$D$1</c:f>
              <c:numCache>
                <c:formatCode>General</c:formatCode>
                <c:ptCount val="3"/>
                <c:pt idx="0">
                  <c:v>2017</c:v>
                </c:pt>
                <c:pt idx="1">
                  <c:v>2018</c:v>
                </c:pt>
                <c:pt idx="2">
                  <c:v>2019</c:v>
                </c:pt>
              </c:numCache>
            </c:numRef>
          </c:cat>
          <c:val>
            <c:numRef>
              <c:f>Products!$B$6:$D$6</c:f>
              <c:numCache>
                <c:formatCode>General</c:formatCode>
                <c:ptCount val="3"/>
                <c:pt idx="0">
                  <c:v>0</c:v>
                </c:pt>
                <c:pt idx="1">
                  <c:v>0.12</c:v>
                </c:pt>
                <c:pt idx="2">
                  <c:v>0.76</c:v>
                </c:pt>
              </c:numCache>
            </c:numRef>
          </c:val>
          <c:extLst xmlns:c16r2="http://schemas.microsoft.com/office/drawing/2015/06/chart">
            <c:ext xmlns:c16="http://schemas.microsoft.com/office/drawing/2014/chart" uri="{C3380CC4-5D6E-409C-BE32-E72D297353CC}">
              <c16:uniqueId val="{00000004-09B8-40C1-860B-6A47817807EF}"/>
            </c:ext>
          </c:extLst>
        </c:ser>
        <c:dLbls>
          <c:showLegendKey val="0"/>
          <c:showVal val="0"/>
          <c:showCatName val="0"/>
          <c:showSerName val="0"/>
          <c:showPercent val="0"/>
          <c:showBubbleSize val="0"/>
        </c:dLbls>
        <c:gapWidth val="150"/>
        <c:shape val="box"/>
        <c:axId val="309163840"/>
        <c:axId val="310215000"/>
        <c:axId val="0"/>
      </c:bar3DChart>
      <c:catAx>
        <c:axId val="309163840"/>
        <c:scaling>
          <c:orientation val="minMax"/>
        </c:scaling>
        <c:delete val="0"/>
        <c:axPos val="b"/>
        <c:title>
          <c:tx>
            <c:rich>
              <a:bodyPr/>
              <a:lstStyle/>
              <a:p>
                <a:pPr>
                  <a:defRPr/>
                </a:pPr>
                <a:r>
                  <a:rPr lang="en-AU"/>
                  <a:t>Years</a:t>
                </a:r>
              </a:p>
            </c:rich>
          </c:tx>
          <c:overlay val="0"/>
        </c:title>
        <c:numFmt formatCode="General" sourceLinked="1"/>
        <c:majorTickMark val="out"/>
        <c:minorTickMark val="none"/>
        <c:tickLblPos val="nextTo"/>
        <c:crossAx val="310215000"/>
        <c:crosses val="autoZero"/>
        <c:auto val="1"/>
        <c:lblAlgn val="ctr"/>
        <c:lblOffset val="100"/>
        <c:noMultiLvlLbl val="0"/>
      </c:catAx>
      <c:valAx>
        <c:axId val="310215000"/>
        <c:scaling>
          <c:orientation val="minMax"/>
        </c:scaling>
        <c:delete val="0"/>
        <c:axPos val="l"/>
        <c:majorGridlines/>
        <c:title>
          <c:tx>
            <c:rich>
              <a:bodyPr rot="-5400000" vert="horz"/>
              <a:lstStyle/>
              <a:p>
                <a:pPr>
                  <a:defRPr/>
                </a:pPr>
                <a:r>
                  <a:rPr lang="en-AU"/>
                  <a:t>Product market share (in %)</a:t>
                </a:r>
              </a:p>
            </c:rich>
          </c:tx>
          <c:overlay val="0"/>
        </c:title>
        <c:numFmt formatCode="General" sourceLinked="1"/>
        <c:majorTickMark val="out"/>
        <c:minorTickMark val="none"/>
        <c:tickLblPos val="nextTo"/>
        <c:crossAx val="3091638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Number of policyholders in various regions across the country</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2019</c:v>
                </c:pt>
              </c:strCache>
            </c:strRef>
          </c:tx>
          <c:invertIfNegative val="0"/>
          <c:cat>
            <c:strRef>
              <c:f>Sheet1!$A$2:$A$6</c:f>
              <c:strCache>
                <c:ptCount val="5"/>
                <c:pt idx="0">
                  <c:v>Centre</c:v>
                </c:pt>
                <c:pt idx="1">
                  <c:v>North</c:v>
                </c:pt>
                <c:pt idx="2">
                  <c:v>South</c:v>
                </c:pt>
                <c:pt idx="3">
                  <c:v>East</c:v>
                </c:pt>
                <c:pt idx="4">
                  <c:v>West</c:v>
                </c:pt>
              </c:strCache>
            </c:strRef>
          </c:cat>
          <c:val>
            <c:numRef>
              <c:f>Sheet1!$B$2:$B$6</c:f>
              <c:numCache>
                <c:formatCode>_-* #,##0_-;\-* #,##0_-;_-* "-"??_-;_-@_-</c:formatCode>
                <c:ptCount val="5"/>
                <c:pt idx="0">
                  <c:v>19043</c:v>
                </c:pt>
                <c:pt idx="1">
                  <c:v>4422</c:v>
                </c:pt>
                <c:pt idx="2">
                  <c:v>426</c:v>
                </c:pt>
                <c:pt idx="3">
                  <c:v>5183</c:v>
                </c:pt>
                <c:pt idx="4">
                  <c:v>8143</c:v>
                </c:pt>
              </c:numCache>
            </c:numRef>
          </c:val>
          <c:extLst xmlns:c16r2="http://schemas.microsoft.com/office/drawing/2015/06/chart">
            <c:ext xmlns:c16="http://schemas.microsoft.com/office/drawing/2014/chart" uri="{C3380CC4-5D6E-409C-BE32-E72D297353CC}">
              <c16:uniqueId val="{00000000-ED2A-4746-900E-3CB76986812D}"/>
            </c:ext>
          </c:extLst>
        </c:ser>
        <c:ser>
          <c:idx val="1"/>
          <c:order val="1"/>
          <c:tx>
            <c:strRef>
              <c:f>Sheet1!$C$1</c:f>
              <c:strCache>
                <c:ptCount val="1"/>
                <c:pt idx="0">
                  <c:v>2018</c:v>
                </c:pt>
              </c:strCache>
            </c:strRef>
          </c:tx>
          <c:invertIfNegative val="0"/>
          <c:cat>
            <c:strRef>
              <c:f>Sheet1!$A$2:$A$6</c:f>
              <c:strCache>
                <c:ptCount val="5"/>
                <c:pt idx="0">
                  <c:v>Centre</c:v>
                </c:pt>
                <c:pt idx="1">
                  <c:v>North</c:v>
                </c:pt>
                <c:pt idx="2">
                  <c:v>South</c:v>
                </c:pt>
                <c:pt idx="3">
                  <c:v>East</c:v>
                </c:pt>
                <c:pt idx="4">
                  <c:v>West</c:v>
                </c:pt>
              </c:strCache>
            </c:strRef>
          </c:cat>
          <c:val>
            <c:numRef>
              <c:f>Sheet1!$C$2:$C$6</c:f>
              <c:numCache>
                <c:formatCode>_-* #,##0_-;\-* #,##0_-;_-* "-"??_-;_-@_-</c:formatCode>
                <c:ptCount val="5"/>
                <c:pt idx="0">
                  <c:v>564</c:v>
                </c:pt>
                <c:pt idx="1">
                  <c:v>5392</c:v>
                </c:pt>
                <c:pt idx="2">
                  <c:v>3325</c:v>
                </c:pt>
                <c:pt idx="3">
                  <c:v>3126</c:v>
                </c:pt>
                <c:pt idx="4">
                  <c:v>6863</c:v>
                </c:pt>
              </c:numCache>
            </c:numRef>
          </c:val>
          <c:extLst xmlns:c16r2="http://schemas.microsoft.com/office/drawing/2015/06/chart">
            <c:ext xmlns:c16="http://schemas.microsoft.com/office/drawing/2014/chart" uri="{C3380CC4-5D6E-409C-BE32-E72D297353CC}">
              <c16:uniqueId val="{00000001-ED2A-4746-900E-3CB76986812D}"/>
            </c:ext>
          </c:extLst>
        </c:ser>
        <c:ser>
          <c:idx val="2"/>
          <c:order val="2"/>
          <c:tx>
            <c:strRef>
              <c:f>Sheet1!$D$1</c:f>
              <c:strCache>
                <c:ptCount val="1"/>
                <c:pt idx="0">
                  <c:v>2017</c:v>
                </c:pt>
              </c:strCache>
            </c:strRef>
          </c:tx>
          <c:invertIfNegative val="0"/>
          <c:cat>
            <c:strRef>
              <c:f>Sheet1!$A$2:$A$6</c:f>
              <c:strCache>
                <c:ptCount val="5"/>
                <c:pt idx="0">
                  <c:v>Centre</c:v>
                </c:pt>
                <c:pt idx="1">
                  <c:v>North</c:v>
                </c:pt>
                <c:pt idx="2">
                  <c:v>South</c:v>
                </c:pt>
                <c:pt idx="3">
                  <c:v>East</c:v>
                </c:pt>
                <c:pt idx="4">
                  <c:v>West</c:v>
                </c:pt>
              </c:strCache>
            </c:strRef>
          </c:cat>
          <c:val>
            <c:numRef>
              <c:f>Sheet1!$D$2:$D$6</c:f>
              <c:numCache>
                <c:formatCode>_-* #,##0_-;\-* #,##0_-;_-* "-"??_-;_-@_-</c:formatCode>
                <c:ptCount val="5"/>
                <c:pt idx="0">
                  <c:v>474</c:v>
                </c:pt>
                <c:pt idx="1">
                  <c:v>1673</c:v>
                </c:pt>
                <c:pt idx="2">
                  <c:v>39</c:v>
                </c:pt>
                <c:pt idx="3">
                  <c:v>3222</c:v>
                </c:pt>
                <c:pt idx="4">
                  <c:v>23093</c:v>
                </c:pt>
              </c:numCache>
            </c:numRef>
          </c:val>
          <c:extLst xmlns:c16r2="http://schemas.microsoft.com/office/drawing/2015/06/chart">
            <c:ext xmlns:c16="http://schemas.microsoft.com/office/drawing/2014/chart" uri="{C3380CC4-5D6E-409C-BE32-E72D297353CC}">
              <c16:uniqueId val="{00000002-ED2A-4746-900E-3CB76986812D}"/>
            </c:ext>
          </c:extLst>
        </c:ser>
        <c:ser>
          <c:idx val="3"/>
          <c:order val="3"/>
          <c:tx>
            <c:strRef>
              <c:f>Sheet1!$E$1</c:f>
              <c:strCache>
                <c:ptCount val="1"/>
                <c:pt idx="0">
                  <c:v>2016</c:v>
                </c:pt>
              </c:strCache>
            </c:strRef>
          </c:tx>
          <c:invertIfNegative val="0"/>
          <c:cat>
            <c:strRef>
              <c:f>Sheet1!$A$2:$A$6</c:f>
              <c:strCache>
                <c:ptCount val="5"/>
                <c:pt idx="0">
                  <c:v>Centre</c:v>
                </c:pt>
                <c:pt idx="1">
                  <c:v>North</c:v>
                </c:pt>
                <c:pt idx="2">
                  <c:v>South</c:v>
                </c:pt>
                <c:pt idx="3">
                  <c:v>East</c:v>
                </c:pt>
                <c:pt idx="4">
                  <c:v>West</c:v>
                </c:pt>
              </c:strCache>
            </c:strRef>
          </c:cat>
          <c:val>
            <c:numRef>
              <c:f>Sheet1!$E$2:$E$6</c:f>
              <c:numCache>
                <c:formatCode>_-* #,##0_-;\-* #,##0_-;_-* "-"??_-;_-@_-</c:formatCode>
                <c:ptCount val="5"/>
                <c:pt idx="0">
                  <c:v>397</c:v>
                </c:pt>
                <c:pt idx="1">
                  <c:v>4560</c:v>
                </c:pt>
                <c:pt idx="2">
                  <c:v>141</c:v>
                </c:pt>
                <c:pt idx="3">
                  <c:v>1181</c:v>
                </c:pt>
                <c:pt idx="4">
                  <c:v>622</c:v>
                </c:pt>
              </c:numCache>
            </c:numRef>
          </c:val>
          <c:extLst xmlns:c16r2="http://schemas.microsoft.com/office/drawing/2015/06/chart">
            <c:ext xmlns:c16="http://schemas.microsoft.com/office/drawing/2014/chart" uri="{C3380CC4-5D6E-409C-BE32-E72D297353CC}">
              <c16:uniqueId val="{00000003-ED2A-4746-900E-3CB76986812D}"/>
            </c:ext>
          </c:extLst>
        </c:ser>
        <c:dLbls>
          <c:showLegendKey val="0"/>
          <c:showVal val="0"/>
          <c:showCatName val="0"/>
          <c:showSerName val="0"/>
          <c:showPercent val="0"/>
          <c:showBubbleSize val="0"/>
        </c:dLbls>
        <c:gapWidth val="150"/>
        <c:shape val="box"/>
        <c:axId val="310214216"/>
        <c:axId val="310213824"/>
        <c:axId val="0"/>
      </c:bar3DChart>
      <c:catAx>
        <c:axId val="310214216"/>
        <c:scaling>
          <c:orientation val="minMax"/>
        </c:scaling>
        <c:delete val="0"/>
        <c:axPos val="b"/>
        <c:title>
          <c:tx>
            <c:rich>
              <a:bodyPr/>
              <a:lstStyle/>
              <a:p>
                <a:pPr>
                  <a:defRPr/>
                </a:pPr>
                <a:r>
                  <a:rPr lang="en-AU"/>
                  <a:t>Regions</a:t>
                </a:r>
              </a:p>
            </c:rich>
          </c:tx>
          <c:overlay val="0"/>
        </c:title>
        <c:numFmt formatCode="General" sourceLinked="0"/>
        <c:majorTickMark val="out"/>
        <c:minorTickMark val="none"/>
        <c:tickLblPos val="nextTo"/>
        <c:crossAx val="310213824"/>
        <c:crosses val="autoZero"/>
        <c:auto val="1"/>
        <c:lblAlgn val="ctr"/>
        <c:lblOffset val="100"/>
        <c:noMultiLvlLbl val="0"/>
      </c:catAx>
      <c:valAx>
        <c:axId val="310213824"/>
        <c:scaling>
          <c:orientation val="minMax"/>
        </c:scaling>
        <c:delete val="0"/>
        <c:axPos val="l"/>
        <c:majorGridlines/>
        <c:title>
          <c:tx>
            <c:rich>
              <a:bodyPr rot="-5400000" vert="horz"/>
              <a:lstStyle/>
              <a:p>
                <a:pPr>
                  <a:defRPr/>
                </a:pPr>
                <a:r>
                  <a:rPr lang="en-AU"/>
                  <a:t>Number of policyholders</a:t>
                </a:r>
              </a:p>
            </c:rich>
          </c:tx>
          <c:overlay val="0"/>
        </c:title>
        <c:numFmt formatCode="_-* #,##0_-;\-* #,##0_-;_-* &quot;-&quot;??_-;_-@_-" sourceLinked="1"/>
        <c:majorTickMark val="out"/>
        <c:minorTickMark val="none"/>
        <c:tickLblPos val="nextTo"/>
        <c:crossAx val="31021421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Financial Performance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'All Industry'!$A$2</c:f>
              <c:strCache>
                <c:ptCount val="1"/>
                <c:pt idx="0">
                  <c:v>Total assets</c:v>
                </c:pt>
              </c:strCache>
            </c:strRef>
          </c:tx>
          <c:invertIfNegative val="0"/>
          <c:cat>
            <c:numRef>
              <c:f>'All Industry'!$B$1:$E$1</c:f>
              <c:numCache>
                <c:formatCode>General</c:formatCode>
                <c:ptCount val="4"/>
                <c:pt idx="0">
                  <c:v>2015</c:v>
                </c:pt>
                <c:pt idx="1">
                  <c:v>2016</c:v>
                </c:pt>
                <c:pt idx="2">
                  <c:v>2017</c:v>
                </c:pt>
                <c:pt idx="3">
                  <c:v>2018</c:v>
                </c:pt>
              </c:numCache>
            </c:numRef>
          </c:cat>
          <c:val>
            <c:numRef>
              <c:f>'All Industry'!$B$2:$E$2</c:f>
              <c:numCache>
                <c:formatCode>#,##0.00</c:formatCode>
                <c:ptCount val="4"/>
                <c:pt idx="0">
                  <c:v>26.606542999999999</c:v>
                </c:pt>
                <c:pt idx="1">
                  <c:v>27.187227999999998</c:v>
                </c:pt>
                <c:pt idx="2">
                  <c:v>27.191361999999998</c:v>
                </c:pt>
                <c:pt idx="3">
                  <c:v>28.021384999999999</c:v>
                </c:pt>
              </c:numCache>
            </c:numRef>
          </c:val>
          <c:extLst xmlns:c16r2="http://schemas.microsoft.com/office/drawing/2015/06/chart">
            <c:ext xmlns:c16="http://schemas.microsoft.com/office/drawing/2014/chart" uri="{C3380CC4-5D6E-409C-BE32-E72D297353CC}">
              <c16:uniqueId val="{00000000-8060-4746-A2AD-2A33360D0E74}"/>
            </c:ext>
          </c:extLst>
        </c:ser>
        <c:ser>
          <c:idx val="1"/>
          <c:order val="1"/>
          <c:tx>
            <c:strRef>
              <c:f>'All Industry'!$A$3</c:f>
              <c:strCache>
                <c:ptCount val="1"/>
                <c:pt idx="0">
                  <c:v>Total equity</c:v>
                </c:pt>
              </c:strCache>
            </c:strRef>
          </c:tx>
          <c:invertIfNegative val="0"/>
          <c:cat>
            <c:numRef>
              <c:f>'All Industry'!$B$1:$E$1</c:f>
              <c:numCache>
                <c:formatCode>General</c:formatCode>
                <c:ptCount val="4"/>
                <c:pt idx="0">
                  <c:v>2015</c:v>
                </c:pt>
                <c:pt idx="1">
                  <c:v>2016</c:v>
                </c:pt>
                <c:pt idx="2">
                  <c:v>2017</c:v>
                </c:pt>
                <c:pt idx="3">
                  <c:v>2018</c:v>
                </c:pt>
              </c:numCache>
            </c:numRef>
          </c:cat>
          <c:val>
            <c:numRef>
              <c:f>'All Industry'!$B$3:$E$3</c:f>
              <c:numCache>
                <c:formatCode>#,##0.00</c:formatCode>
                <c:ptCount val="4"/>
                <c:pt idx="0">
                  <c:v>20.479949999999999</c:v>
                </c:pt>
                <c:pt idx="1">
                  <c:v>19.464787999999999</c:v>
                </c:pt>
                <c:pt idx="2">
                  <c:v>20.401728999999996</c:v>
                </c:pt>
                <c:pt idx="3">
                  <c:v>20.556643999999999</c:v>
                </c:pt>
              </c:numCache>
            </c:numRef>
          </c:val>
          <c:extLst xmlns:c16r2="http://schemas.microsoft.com/office/drawing/2015/06/chart">
            <c:ext xmlns:c16="http://schemas.microsoft.com/office/drawing/2014/chart" uri="{C3380CC4-5D6E-409C-BE32-E72D297353CC}">
              <c16:uniqueId val="{00000001-8060-4746-A2AD-2A33360D0E74}"/>
            </c:ext>
          </c:extLst>
        </c:ser>
        <c:ser>
          <c:idx val="2"/>
          <c:order val="2"/>
          <c:tx>
            <c:strRef>
              <c:f>'All Industry'!$A$4</c:f>
              <c:strCache>
                <c:ptCount val="1"/>
                <c:pt idx="0">
                  <c:v>Total liabilities</c:v>
                </c:pt>
              </c:strCache>
            </c:strRef>
          </c:tx>
          <c:invertIfNegative val="0"/>
          <c:cat>
            <c:numRef>
              <c:f>'All Industry'!$B$1:$E$1</c:f>
              <c:numCache>
                <c:formatCode>General</c:formatCode>
                <c:ptCount val="4"/>
                <c:pt idx="0">
                  <c:v>2015</c:v>
                </c:pt>
                <c:pt idx="1">
                  <c:v>2016</c:v>
                </c:pt>
                <c:pt idx="2">
                  <c:v>2017</c:v>
                </c:pt>
                <c:pt idx="3">
                  <c:v>2018</c:v>
                </c:pt>
              </c:numCache>
            </c:numRef>
          </c:cat>
          <c:val>
            <c:numRef>
              <c:f>'All Industry'!$B$4:$E$4</c:f>
              <c:numCache>
                <c:formatCode>#,##0.00</c:formatCode>
                <c:ptCount val="4"/>
                <c:pt idx="0">
                  <c:v>8.9332370000000001</c:v>
                </c:pt>
                <c:pt idx="1">
                  <c:v>10.529013000000001</c:v>
                </c:pt>
                <c:pt idx="2">
                  <c:v>9.5962770000000006</c:v>
                </c:pt>
                <c:pt idx="3">
                  <c:v>10.268977000000001</c:v>
                </c:pt>
              </c:numCache>
            </c:numRef>
          </c:val>
          <c:extLst xmlns:c16r2="http://schemas.microsoft.com/office/drawing/2015/06/chart">
            <c:ext xmlns:c16="http://schemas.microsoft.com/office/drawing/2014/chart" uri="{C3380CC4-5D6E-409C-BE32-E72D297353CC}">
              <c16:uniqueId val="{00000002-8060-4746-A2AD-2A33360D0E74}"/>
            </c:ext>
          </c:extLst>
        </c:ser>
        <c:dLbls>
          <c:showLegendKey val="0"/>
          <c:showVal val="0"/>
          <c:showCatName val="0"/>
          <c:showSerName val="0"/>
          <c:showPercent val="0"/>
          <c:showBubbleSize val="0"/>
        </c:dLbls>
        <c:gapWidth val="150"/>
        <c:shape val="box"/>
        <c:axId val="313489952"/>
        <c:axId val="313489560"/>
        <c:axId val="0"/>
      </c:bar3DChart>
      <c:catAx>
        <c:axId val="313489952"/>
        <c:scaling>
          <c:orientation val="minMax"/>
        </c:scaling>
        <c:delete val="0"/>
        <c:axPos val="b"/>
        <c:title>
          <c:tx>
            <c:rich>
              <a:bodyPr/>
              <a:lstStyle/>
              <a:p>
                <a:pPr>
                  <a:defRPr/>
                </a:pPr>
                <a:r>
                  <a:rPr lang="en-AU"/>
                  <a:t>Years</a:t>
                </a:r>
              </a:p>
            </c:rich>
          </c:tx>
          <c:overlay val="0"/>
        </c:title>
        <c:numFmt formatCode="General" sourceLinked="1"/>
        <c:majorTickMark val="out"/>
        <c:minorTickMark val="none"/>
        <c:tickLblPos val="nextTo"/>
        <c:crossAx val="313489560"/>
        <c:crosses val="autoZero"/>
        <c:auto val="1"/>
        <c:lblAlgn val="ctr"/>
        <c:lblOffset val="100"/>
        <c:noMultiLvlLbl val="0"/>
      </c:catAx>
      <c:valAx>
        <c:axId val="313489560"/>
        <c:scaling>
          <c:orientation val="minMax"/>
        </c:scaling>
        <c:delete val="0"/>
        <c:axPos val="l"/>
        <c:majorGridlines/>
        <c:title>
          <c:tx>
            <c:rich>
              <a:bodyPr rot="-5400000" vert="horz"/>
              <a:lstStyle/>
              <a:p>
                <a:pPr>
                  <a:defRPr/>
                </a:pPr>
                <a:r>
                  <a:rPr lang="en-AU"/>
                  <a:t>Amounts (in USD millions)</a:t>
                </a:r>
              </a:p>
            </c:rich>
          </c:tx>
          <c:overlay val="0"/>
        </c:title>
        <c:numFmt formatCode="#,##0.00" sourceLinked="1"/>
        <c:majorTickMark val="out"/>
        <c:minorTickMark val="none"/>
        <c:tickLblPos val="nextTo"/>
        <c:crossAx val="31348995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Gross Premium, Retention, and Cession to Reinsurers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'All Industry'!$A$18</c:f>
              <c:strCache>
                <c:ptCount val="1"/>
                <c:pt idx="0">
                  <c:v>Gross Premium </c:v>
                </c:pt>
              </c:strCache>
            </c:strRef>
          </c:tx>
          <c:invertIfNegative val="0"/>
          <c:cat>
            <c:numRef>
              <c:f>'All Industry'!$B$17:$E$17</c:f>
              <c:numCache>
                <c:formatCode>General</c:formatCode>
                <c:ptCount val="4"/>
                <c:pt idx="0">
                  <c:v>2015</c:v>
                </c:pt>
                <c:pt idx="1">
                  <c:v>2016</c:v>
                </c:pt>
                <c:pt idx="2">
                  <c:v>2017</c:v>
                </c:pt>
                <c:pt idx="3">
                  <c:v>2018</c:v>
                </c:pt>
              </c:numCache>
            </c:numRef>
          </c:cat>
          <c:val>
            <c:numRef>
              <c:f>'All Industry'!$B$18:$E$18</c:f>
              <c:numCache>
                <c:formatCode>#,##0.00</c:formatCode>
                <c:ptCount val="4"/>
                <c:pt idx="0">
                  <c:v>9.5892049999999998</c:v>
                </c:pt>
                <c:pt idx="1">
                  <c:v>12.909905</c:v>
                </c:pt>
                <c:pt idx="2">
                  <c:v>12.15541</c:v>
                </c:pt>
                <c:pt idx="3">
                  <c:v>16.540901000000002</c:v>
                </c:pt>
              </c:numCache>
            </c:numRef>
          </c:val>
          <c:extLst xmlns:c16r2="http://schemas.microsoft.com/office/drawing/2015/06/chart">
            <c:ext xmlns:c16="http://schemas.microsoft.com/office/drawing/2014/chart" uri="{C3380CC4-5D6E-409C-BE32-E72D297353CC}">
              <c16:uniqueId val="{00000000-E561-4F8C-A5F1-B90AB5C89FBF}"/>
            </c:ext>
          </c:extLst>
        </c:ser>
        <c:ser>
          <c:idx val="1"/>
          <c:order val="1"/>
          <c:tx>
            <c:strRef>
              <c:f>'All Industry'!$A$19</c:f>
              <c:strCache>
                <c:ptCount val="1"/>
                <c:pt idx="0">
                  <c:v>Premium retained </c:v>
                </c:pt>
              </c:strCache>
            </c:strRef>
          </c:tx>
          <c:invertIfNegative val="0"/>
          <c:cat>
            <c:numRef>
              <c:f>'All Industry'!$B$17:$E$17</c:f>
              <c:numCache>
                <c:formatCode>General</c:formatCode>
                <c:ptCount val="4"/>
                <c:pt idx="0">
                  <c:v>2015</c:v>
                </c:pt>
                <c:pt idx="1">
                  <c:v>2016</c:v>
                </c:pt>
                <c:pt idx="2">
                  <c:v>2017</c:v>
                </c:pt>
                <c:pt idx="3">
                  <c:v>2018</c:v>
                </c:pt>
              </c:numCache>
            </c:numRef>
          </c:cat>
          <c:val>
            <c:numRef>
              <c:f>'All Industry'!$B$19:$E$19</c:f>
              <c:numCache>
                <c:formatCode>#,##0.00</c:formatCode>
                <c:ptCount val="4"/>
                <c:pt idx="0">
                  <c:v>2.8211200000000001</c:v>
                </c:pt>
                <c:pt idx="1">
                  <c:v>3.3915669999999998</c:v>
                </c:pt>
                <c:pt idx="2">
                  <c:v>4.2082049999999995</c:v>
                </c:pt>
                <c:pt idx="3">
                  <c:v>4.8521549999999998</c:v>
                </c:pt>
              </c:numCache>
            </c:numRef>
          </c:val>
          <c:extLst xmlns:c16r2="http://schemas.microsoft.com/office/drawing/2015/06/chart">
            <c:ext xmlns:c16="http://schemas.microsoft.com/office/drawing/2014/chart" uri="{C3380CC4-5D6E-409C-BE32-E72D297353CC}">
              <c16:uniqueId val="{00000001-E561-4F8C-A5F1-B90AB5C89FBF}"/>
            </c:ext>
          </c:extLst>
        </c:ser>
        <c:ser>
          <c:idx val="2"/>
          <c:order val="2"/>
          <c:tx>
            <c:strRef>
              <c:f>'All Industry'!$A$20</c:f>
              <c:strCache>
                <c:ptCount val="1"/>
                <c:pt idx="0">
                  <c:v>Ceded to reinsurer</c:v>
                </c:pt>
              </c:strCache>
            </c:strRef>
          </c:tx>
          <c:invertIfNegative val="0"/>
          <c:cat>
            <c:numRef>
              <c:f>'All Industry'!$B$17:$E$17</c:f>
              <c:numCache>
                <c:formatCode>General</c:formatCode>
                <c:ptCount val="4"/>
                <c:pt idx="0">
                  <c:v>2015</c:v>
                </c:pt>
                <c:pt idx="1">
                  <c:v>2016</c:v>
                </c:pt>
                <c:pt idx="2">
                  <c:v>2017</c:v>
                </c:pt>
                <c:pt idx="3">
                  <c:v>2018</c:v>
                </c:pt>
              </c:numCache>
            </c:numRef>
          </c:cat>
          <c:val>
            <c:numRef>
              <c:f>'All Industry'!$B$20:$E$20</c:f>
              <c:numCache>
                <c:formatCode>#,##0.00</c:formatCode>
                <c:ptCount val="4"/>
                <c:pt idx="0">
                  <c:v>7.7047790000000003</c:v>
                </c:pt>
                <c:pt idx="1">
                  <c:v>10.455031</c:v>
                </c:pt>
                <c:pt idx="2">
                  <c:v>8.8838989999999995</c:v>
                </c:pt>
                <c:pt idx="3">
                  <c:v>12.610440000000001</c:v>
                </c:pt>
              </c:numCache>
            </c:numRef>
          </c:val>
          <c:extLst xmlns:c16r2="http://schemas.microsoft.com/office/drawing/2015/06/chart">
            <c:ext xmlns:c16="http://schemas.microsoft.com/office/drawing/2014/chart" uri="{C3380CC4-5D6E-409C-BE32-E72D297353CC}">
              <c16:uniqueId val="{00000002-E561-4F8C-A5F1-B90AB5C89FBF}"/>
            </c:ext>
          </c:extLst>
        </c:ser>
        <c:dLbls>
          <c:showLegendKey val="0"/>
          <c:showVal val="0"/>
          <c:showCatName val="0"/>
          <c:showSerName val="0"/>
          <c:showPercent val="0"/>
          <c:showBubbleSize val="0"/>
        </c:dLbls>
        <c:gapWidth val="150"/>
        <c:shape val="box"/>
        <c:axId val="313488776"/>
        <c:axId val="313489168"/>
        <c:axId val="0"/>
      </c:bar3DChart>
      <c:catAx>
        <c:axId val="313488776"/>
        <c:scaling>
          <c:orientation val="minMax"/>
        </c:scaling>
        <c:delete val="0"/>
        <c:axPos val="b"/>
        <c:title>
          <c:tx>
            <c:rich>
              <a:bodyPr/>
              <a:lstStyle/>
              <a:p>
                <a:pPr>
                  <a:defRPr/>
                </a:pPr>
                <a:r>
                  <a:rPr lang="en-AU"/>
                  <a:t>Years</a:t>
                </a:r>
              </a:p>
            </c:rich>
          </c:tx>
          <c:overlay val="0"/>
        </c:title>
        <c:numFmt formatCode="General" sourceLinked="1"/>
        <c:majorTickMark val="out"/>
        <c:minorTickMark val="none"/>
        <c:tickLblPos val="nextTo"/>
        <c:crossAx val="313489168"/>
        <c:crosses val="autoZero"/>
        <c:auto val="1"/>
        <c:lblAlgn val="ctr"/>
        <c:lblOffset val="100"/>
        <c:noMultiLvlLbl val="0"/>
      </c:catAx>
      <c:valAx>
        <c:axId val="313489168"/>
        <c:scaling>
          <c:orientation val="minMax"/>
        </c:scaling>
        <c:delete val="0"/>
        <c:axPos val="l"/>
        <c:majorGridlines/>
        <c:title>
          <c:tx>
            <c:rich>
              <a:bodyPr rot="-5400000" vert="horz"/>
              <a:lstStyle/>
              <a:p>
                <a:pPr>
                  <a:defRPr/>
                </a:pPr>
                <a:r>
                  <a:rPr lang="en-AU"/>
                  <a:t>Amounts (in USD millions)</a:t>
                </a:r>
              </a:p>
            </c:rich>
          </c:tx>
          <c:overlay val="0"/>
        </c:title>
        <c:numFmt formatCode="#,##0.00" sourceLinked="1"/>
        <c:majorTickMark val="out"/>
        <c:minorTickMark val="none"/>
        <c:tickLblPos val="nextTo"/>
        <c:crossAx val="313488776"/>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1A0B68DC8D4DDFB222EBDF727D02E5"/>
        <w:category>
          <w:name w:val="General"/>
          <w:gallery w:val="placeholder"/>
        </w:category>
        <w:types>
          <w:type w:val="bbPlcHdr"/>
        </w:types>
        <w:behaviors>
          <w:behavior w:val="content"/>
        </w:behaviors>
        <w:guid w:val="{936E140A-98E5-4C67-8F6B-0544B5209F27}"/>
      </w:docPartPr>
      <w:docPartBody>
        <w:p w:rsidR="00BD4157" w:rsidRDefault="00BD4157" w:rsidP="00BD4157">
          <w:pPr>
            <w:pStyle w:val="2A1A0B68DC8D4DDFB222EBDF727D02E5"/>
          </w:pPr>
          <w:r>
            <w:rPr>
              <w:rFonts w:asciiTheme="majorHAnsi" w:eastAsiaTheme="majorEastAsia" w:hAnsiTheme="majorHAnsi" w:cstheme="majorBidi"/>
              <w:b/>
              <w:bCs/>
              <w:color w:val="FFFFFF" w:themeColor="background1"/>
              <w:sz w:val="72"/>
              <w:szCs w:val="72"/>
            </w:rPr>
            <w:t>[Year]</w:t>
          </w:r>
        </w:p>
      </w:docPartBody>
    </w:docPart>
    <w:docPart>
      <w:docPartPr>
        <w:name w:val="6C76F919DB1B46C59E84339739115B09"/>
        <w:category>
          <w:name w:val="General"/>
          <w:gallery w:val="placeholder"/>
        </w:category>
        <w:types>
          <w:type w:val="bbPlcHdr"/>
        </w:types>
        <w:behaviors>
          <w:behavior w:val="content"/>
        </w:behaviors>
        <w:guid w:val="{C13C4989-67C5-40E1-B5D6-A507EE0DEA6C}"/>
      </w:docPartPr>
      <w:docPartBody>
        <w:p w:rsidR="00BD4157" w:rsidRDefault="00BD4157" w:rsidP="00BD4157">
          <w:pPr>
            <w:pStyle w:val="6C76F919DB1B46C59E84339739115B09"/>
          </w:pPr>
          <w:r>
            <w:rPr>
              <w:color w:val="7B7B7B" w:themeColor="accent3" w:themeShade="BF"/>
            </w:rPr>
            <w:t>[Type the company name]</w:t>
          </w:r>
        </w:p>
      </w:docPartBody>
    </w:docPart>
    <w:docPart>
      <w:docPartPr>
        <w:name w:val="6E0865C9B7C44A298769EEE3B9485A26"/>
        <w:category>
          <w:name w:val="General"/>
          <w:gallery w:val="placeholder"/>
        </w:category>
        <w:types>
          <w:type w:val="bbPlcHdr"/>
        </w:types>
        <w:behaviors>
          <w:behavior w:val="content"/>
        </w:behaviors>
        <w:guid w:val="{7A750A0B-D35E-4F67-A8F7-F0F963821747}"/>
      </w:docPartPr>
      <w:docPartBody>
        <w:p w:rsidR="00BD4157" w:rsidRDefault="00BD4157" w:rsidP="00BD4157">
          <w:pPr>
            <w:pStyle w:val="6E0865C9B7C44A298769EEE3B9485A26"/>
          </w:pPr>
          <w:r>
            <w:rPr>
              <w:color w:val="7B7B7B" w:themeColor="accent3" w:themeShade="BF"/>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 Zar">
    <w:altName w:val="Courier New"/>
    <w:panose1 w:val="00000400000000000000"/>
    <w:charset w:val="B2"/>
    <w:family w:val="auto"/>
    <w:pitch w:val="variable"/>
    <w:sig w:usb0="00002000" w:usb1="80000000" w:usb2="00000008"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157"/>
    <w:rsid w:val="002F6687"/>
    <w:rsid w:val="003D23F3"/>
    <w:rsid w:val="007B5861"/>
    <w:rsid w:val="0081530F"/>
    <w:rsid w:val="00BD4157"/>
    <w:rsid w:val="00CE56B9"/>
    <w:rsid w:val="00D9690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1974A96937405A9F77F0138687B68E">
    <w:name w:val="BE1974A96937405A9F77F0138687B68E"/>
    <w:rsid w:val="00BD4157"/>
  </w:style>
  <w:style w:type="paragraph" w:customStyle="1" w:styleId="9753B89B529C4B38866C34EABE528778">
    <w:name w:val="9753B89B529C4B38866C34EABE528778"/>
    <w:rsid w:val="00BD4157"/>
  </w:style>
  <w:style w:type="paragraph" w:customStyle="1" w:styleId="30569600DBDC4E9FAA0A278BB360D0F7">
    <w:name w:val="30569600DBDC4E9FAA0A278BB360D0F7"/>
    <w:rsid w:val="00BD4157"/>
  </w:style>
  <w:style w:type="paragraph" w:customStyle="1" w:styleId="E9B0C7544574408BAD3FFA6B2290018E">
    <w:name w:val="E9B0C7544574408BAD3FFA6B2290018E"/>
    <w:rsid w:val="00BD4157"/>
  </w:style>
  <w:style w:type="paragraph" w:customStyle="1" w:styleId="92E50941F04346DFB82FC823485623D7">
    <w:name w:val="92E50941F04346DFB82FC823485623D7"/>
    <w:rsid w:val="00BD4157"/>
  </w:style>
  <w:style w:type="paragraph" w:customStyle="1" w:styleId="C2251923A46A41D4BFA0305C9DFD5408">
    <w:name w:val="C2251923A46A41D4BFA0305C9DFD5408"/>
    <w:rsid w:val="00BD4157"/>
  </w:style>
  <w:style w:type="paragraph" w:customStyle="1" w:styleId="D7F7DC6C421C4611973408F559C8E064">
    <w:name w:val="D7F7DC6C421C4611973408F559C8E064"/>
    <w:rsid w:val="00BD4157"/>
  </w:style>
  <w:style w:type="paragraph" w:customStyle="1" w:styleId="CBEE8534FFC3492D89025A38B3BB13E6">
    <w:name w:val="CBEE8534FFC3492D89025A38B3BB13E6"/>
    <w:rsid w:val="00BD4157"/>
  </w:style>
  <w:style w:type="paragraph" w:customStyle="1" w:styleId="2A1A0B68DC8D4DDFB222EBDF727D02E5">
    <w:name w:val="2A1A0B68DC8D4DDFB222EBDF727D02E5"/>
    <w:rsid w:val="00BD4157"/>
  </w:style>
  <w:style w:type="paragraph" w:customStyle="1" w:styleId="6C76F919DB1B46C59E84339739115B09">
    <w:name w:val="6C76F919DB1B46C59E84339739115B09"/>
    <w:rsid w:val="00BD4157"/>
  </w:style>
  <w:style w:type="paragraph" w:customStyle="1" w:styleId="6E0865C9B7C44A298769EEE3B9485A26">
    <w:name w:val="6E0865C9B7C44A298769EEE3B9485A26"/>
    <w:rsid w:val="00BD41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STABLE INSURANCE INDUSTRY.  PROTECTED POLICYHOLDERS.  SUSTAINED ECONOMIC GROWTH.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1EF8D4-B478-4739-8BB8-F2E4F7147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6352</Words>
  <Characters>36211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Annual Report</vt:lpstr>
    </vt:vector>
  </TitlesOfParts>
  <Company>General Directorate of Insurance Affairs</Company>
  <LinksUpToDate>false</LinksUpToDate>
  <CharactersWithSpaces>42479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creator>Afghanistan</dc:creator>
  <cp:lastModifiedBy>Amanuddin samim</cp:lastModifiedBy>
  <cp:revision>3</cp:revision>
  <cp:lastPrinted>2020-01-12T18:46:00Z</cp:lastPrinted>
  <dcterms:created xsi:type="dcterms:W3CDTF">2020-06-24T05:46:00Z</dcterms:created>
  <dcterms:modified xsi:type="dcterms:W3CDTF">2020-10-17T07:46:00Z</dcterms:modified>
</cp:coreProperties>
</file>